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Executive Summary
</w:t>
      </w:r>
    </w:p>
    <w:p>
      <w:pPr>
        <w:spacing w:after="120" w:before="120" w:line="336" w:lineRule="auto"/>
        <w:ind w:firstLine="0" w:start="0"/>
        <w:jc w:val="start"/>
      </w:pPr>
      <w:r>
        <w:rPr>
          <w:rFonts w:ascii="Canva Sans" w:hAnsi="Canva Sans" w:cs="Canva Sans" w:eastAsia="Canva Sans"/>
          <w:color w:val="000000"/>
          <w:sz w:val="24"/>
          <w:szCs w:val="24"/>
        </w:rPr>
        <w:t xml:space="preserve">Our real estate investment group presents a compelling opportunity to capitalize on Chicago's South and West Side revitalization, leveraging the INVEST South/West initiative and the area's untapped potential. 
</w:t>
      </w:r>
    </w:p>
    <w:p>
      <w:pPr>
        <w:spacing w:after="120" w:before="120" w:line="336" w:lineRule="auto"/>
        <w:ind w:firstLine="0" w:start="0"/>
        <w:jc w:val="start"/>
      </w:pPr>
      <w:r>
        <w:rPr>
          <w:rFonts w:ascii="Canva Sans" w:hAnsi="Canva Sans" w:cs="Canva Sans" w:eastAsia="Canva Sans"/>
          <w:color w:val="000000"/>
          <w:sz w:val="24"/>
          <w:szCs w:val="24"/>
        </w:rPr>
        <w:t xml:space="preserve">As a licensed carpenter with extensive experience in commercial, industrial, and residential projects, I bring unique expertise to maximize property values through strategic renovations and improvements.
</w:t>
      </w:r>
    </w:p>
    <w:p>
      <w:pPr>
        <w:spacing w:after="120" w:before="120" w:line="336" w:lineRule="auto"/>
        <w:ind w:firstLine="0" w:start="0"/>
        <w:jc w:val="start"/>
      </w:pPr>
      <w:r>
        <w:rPr>
          <w:rFonts w:ascii="Canva Sans" w:hAnsi="Canva Sans" w:cs="Canva Sans" w:eastAsia="Canva Sans"/>
          <w:color w:val="000000"/>
          <w:sz w:val="24"/>
          <w:szCs w:val="24"/>
        </w:rPr>
        <w:t xml:space="preserve">We are targeting properties in Chicago's South and West Side neighborhoods and immediate suburbs, areas poised for significant growth due to the city's $750 million INVEST South/West program. 
</w:t>
      </w:r>
    </w:p>
    <w:p>
      <w:pPr>
        <w:spacing w:after="120" w:before="120" w:line="336" w:lineRule="auto"/>
        <w:ind w:firstLine="0" w:start="0"/>
        <w:jc w:val="start"/>
      </w:pPr>
      <w:r>
        <w:rPr>
          <w:rFonts w:ascii="Canva Sans" w:hAnsi="Canva Sans" w:cs="Canva Sans" w:eastAsia="Canva Sans"/>
          <w:color w:val="000000"/>
          <w:sz w:val="24"/>
          <w:szCs w:val="24"/>
        </w:rPr>
        <w:t xml:space="preserve">This initiative aims to attract private investment, improve infrastructure, and enrich local culture, creating a favorable environment for real estate appreciation.
</w:t>
      </w:r>
    </w:p>
    <w:p>
      <w:pPr>
        <w:spacing w:after="120" w:before="120" w:line="336" w:lineRule="auto"/>
        <w:ind w:firstLine="0" w:start="0"/>
        <w:jc w:val="start"/>
      </w:pPr>
      <w:r>
        <w:rPr>
          <w:rFonts w:ascii="Canva Sans" w:hAnsi="Canva Sans" w:cs="Canva Sans" w:eastAsia="Canva Sans"/>
          <w:color w:val="000000"/>
          <w:sz w:val="24"/>
          <w:szCs w:val="24"/>
        </w:rPr>
        <w:t xml:space="preserve">Our initial focus will be on 2-3 projects ranging from 650 to 990 square feet, with property acquisition costs between $25,000 and $50,000. Leveraging my carpentry skills, we plan to implement strategic renovations at $100-$250 per square foot, significantly increasing property values.
</w:t>
      </w:r>
    </w:p>
    <w:p>
      <w:pPr>
        <w:spacing w:after="120" w:before="120" w:line="336" w:lineRule="auto"/>
        <w:ind w:firstLine="0" w:start="0"/>
        <w:jc w:val="start"/>
      </w:pPr>
      <w:r>
        <w:rPr>
          <w:rFonts w:ascii="Canva Sans" w:hAnsi="Canva Sans" w:cs="Canva Sans" w:eastAsia="Canva Sans"/>
          <w:color w:val="000000"/>
          <w:sz w:val="24"/>
          <w:szCs w:val="24"/>
        </w:rPr>
        <w:t xml:space="preserve">Based on current market trends and our value-add approach, we project a 60% profit margin on these initial investments. 
</w:t>
      </w:r>
    </w:p>
    <w:p>
      <w:pPr>
        <w:spacing w:after="120" w:before="120" w:line="336" w:lineRule="auto"/>
        <w:ind w:firstLine="0" w:start="0"/>
        <w:jc w:val="start"/>
      </w:pPr>
      <w:r>
        <w:rPr>
          <w:rFonts w:ascii="Canva Sans" w:hAnsi="Canva Sans" w:cs="Canva Sans" w:eastAsia="Canva Sans"/>
          <w:color w:val="000000"/>
          <w:sz w:val="24"/>
          <w:szCs w:val="24"/>
        </w:rPr>
        <w:t>As we establish our presence and track record, we aim to scale up to larger projects, potentially partnering with developers involved in the INVEST South/West initiative.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Key growth prospects include:</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 xml:space="preserve">Capitalizing on the city's targeted investment in these areas
</w:t>
      </w:r>
    </w:p>
    <w:p>
      <w:pPr>
        <w:numPr>
          <w:ilvl w:val="0"/>
          <w:numId w:val="1"/>
        </w:numPr>
        <w:spacing w:after="0" w:before="0" w:line="336" w:lineRule="auto"/>
        <w:jc w:val="start"/>
      </w:pPr>
      <w:r>
        <w:rPr>
          <w:rFonts w:ascii="Canva Sans" w:hAnsi="Canva Sans" w:cs="Canva Sans" w:eastAsia="Canva Sans"/>
          <w:color w:val="000000"/>
          <w:sz w:val="24"/>
          <w:szCs w:val="24"/>
        </w:rPr>
        <w:t xml:space="preserve">Benefiting from improved infrastructure and community amenities
</w:t>
      </w:r>
    </w:p>
    <w:p>
      <w:pPr>
        <w:numPr>
          <w:ilvl w:val="0"/>
          <w:numId w:val="1"/>
        </w:numPr>
        <w:spacing w:after="0" w:before="0" w:line="336" w:lineRule="auto"/>
        <w:jc w:val="start"/>
      </w:pPr>
      <w:r>
        <w:rPr>
          <w:rFonts w:ascii="Canva Sans" w:hAnsi="Canva Sans" w:cs="Canva Sans" w:eastAsia="Canva Sans"/>
          <w:color w:val="000000"/>
          <w:sz w:val="24"/>
          <w:szCs w:val="24"/>
        </w:rPr>
        <w:t xml:space="preserve">Potential for significant property value appreciation as neighborhoods revitalize
</w:t>
      </w:r>
    </w:p>
    <w:p>
      <w:pPr>
        <w:numPr>
          <w:ilvl w:val="0"/>
          <w:numId w:val="1"/>
        </w:numPr>
        <w:spacing w:after="0" w:before="0" w:line="336" w:lineRule="auto"/>
        <w:jc w:val="start"/>
      </w:pPr>
      <w:r>
        <w:rPr>
          <w:rFonts w:ascii="Canva Sans" w:hAnsi="Canva Sans" w:cs="Canva Sans" w:eastAsia="Canva Sans"/>
          <w:color w:val="000000"/>
          <w:sz w:val="24"/>
          <w:szCs w:val="24"/>
        </w:rPr>
        <w:t xml:space="preserve">Opportunity to expand into larger mixed-use developments as our portfolio grows
</w:t>
      </w:r>
    </w:p>
    <w:p>
      <w:pPr>
        <w:spacing w:after="120" w:before="120" w:line="336" w:lineRule="auto"/>
        <w:ind w:firstLine="0" w:start="0"/>
        <w:jc w:val="start"/>
      </w:pPr>
      <w:r>
        <w:rPr>
          <w:rFonts w:ascii="Canva Sans" w:hAnsi="Canva Sans" w:cs="Canva Sans" w:eastAsia="Canva Sans"/>
          <w:color w:val="000000"/>
          <w:sz w:val="24"/>
          <w:szCs w:val="24"/>
        </w:rPr>
        <w:t xml:space="preserve">By combining my hands-on construction expertise with strategic investment in these emerging areas, we are uniquely positioned to maximize returns while contributing to the revitalization of Chicago's South and West Side communities.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2 Market Analysis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Current State of Chicago's Real Estate Market
</w:t>
      </w:r>
    </w:p>
    <w:p>
      <w:pPr>
        <w:numPr>
          <w:ilvl w:val="0"/>
          <w:numId w:val="2"/>
        </w:numPr>
        <w:spacing w:after="0" w:before="0" w:line="336" w:lineRule="auto"/>
        <w:jc w:val="start"/>
      </w:pPr>
      <w:r>
        <w:rPr>
          <w:rFonts w:ascii="Canva Sans" w:hAnsi="Canva Sans" w:cs="Canva Sans" w:eastAsia="Canva Sans"/>
          <w:color w:val="000000"/>
          <w:sz w:val="24"/>
          <w:szCs w:val="24"/>
        </w:rPr>
        <w:t xml:space="preserve">The Chicago housing market is showing resilience and growth despite some challenges:
</w:t>
      </w:r>
    </w:p>
    <w:p>
      <w:pPr>
        <w:numPr>
          <w:ilvl w:val="1"/>
          <w:numId w:val="2"/>
        </w:numPr>
        <w:spacing w:after="0" w:before="0" w:line="336" w:lineRule="auto"/>
        <w:jc w:val="start"/>
      </w:pPr>
      <w:r>
        <w:rPr>
          <w:rFonts w:ascii="Canva Sans" w:hAnsi="Canva Sans" w:cs="Canva Sans" w:eastAsia="Canva Sans"/>
          <w:color w:val="000000"/>
          <w:sz w:val="24"/>
          <w:szCs w:val="24"/>
        </w:rPr>
        <w:t>Median home prices reached $360,000 in September 2024, up 7.5% year-over-year</w:t>
      </w:r>
      <w:hyperlink r:id="rId4">
        <w:r>
          <w:rPr>
            <w:rFonts w:ascii="Canva Sans" w:hAnsi="Canva Sans" w:cs="Canva Sans" w:eastAsia="Canva Sans"/>
            <w:color w:val="000000"/>
            <w:sz w:val="24"/>
            <w:szCs w:val="24"/>
            <w:u w:val="single" w:color="000000"/>
          </w:rPr>
          <w:t xml:space="preserve">
</w:t>
        </w:r>
      </w:hyperlink>
    </w:p>
    <w:p>
      <w:pPr>
        <w:numPr>
          <w:ilvl w:val="1"/>
          <w:numId w:val="2"/>
        </w:numPr>
        <w:spacing w:after="0" w:before="0" w:line="336" w:lineRule="auto"/>
        <w:jc w:val="start"/>
      </w:pPr>
      <w:r>
        <w:rPr>
          <w:rFonts w:ascii="Canva Sans" w:hAnsi="Canva Sans" w:cs="Canva Sans" w:eastAsia="Canva Sans"/>
          <w:color w:val="000000"/>
          <w:sz w:val="24"/>
          <w:szCs w:val="24"/>
        </w:rPr>
        <w:t>Average homes sell after 59 days on the market</w:t>
      </w:r>
      <w:hyperlink r:id="rId5">
        <w:r>
          <w:rPr>
            <w:rFonts w:ascii="Canva Sans" w:hAnsi="Canva Sans" w:cs="Canva Sans" w:eastAsia="Canva Sans"/>
            <w:color w:val="000000"/>
            <w:sz w:val="24"/>
            <w:szCs w:val="24"/>
            <w:u w:val="single" w:color="000000"/>
          </w:rPr>
          <w:t xml:space="preserve">
</w:t>
        </w:r>
      </w:hyperlink>
    </w:p>
    <w:p>
      <w:pPr>
        <w:numPr>
          <w:ilvl w:val="1"/>
          <w:numId w:val="2"/>
        </w:numPr>
        <w:spacing w:after="0" w:before="0" w:line="336" w:lineRule="auto"/>
        <w:jc w:val="start"/>
      </w:pPr>
      <w:r>
        <w:rPr>
          <w:rFonts w:ascii="Canva Sans" w:hAnsi="Canva Sans" w:cs="Canva Sans" w:eastAsia="Canva Sans"/>
          <w:color w:val="000000"/>
          <w:sz w:val="24"/>
          <w:szCs w:val="24"/>
        </w:rPr>
        <w:t>The market is somewhat competitive, with homes receiving an average of 3 offer</w:t>
      </w:r>
      <w:r>
        <w:rPr>
          <w:rFonts w:ascii="Canva Sans" w:hAnsi="Canva Sans" w:cs="Canva Sans" w:eastAsia="Canva Sans"/>
          <w:color w:val="000000"/>
          <w:sz w:val="24"/>
          <w:szCs w:val="24"/>
        </w:rPr>
        <w:t xml:space="preserve">
</w:t>
      </w:r>
    </w:p>
    <w:p>
      <w:pPr>
        <w:numPr>
          <w:ilvl w:val="1"/>
          <w:numId w:val="2"/>
        </w:numPr>
        <w:spacing w:after="0" w:before="0" w:line="336" w:lineRule="auto"/>
        <w:jc w:val="start"/>
      </w:pPr>
      <w:r>
        <w:rPr>
          <w:rFonts w:ascii="Canva Sans" w:hAnsi="Canva Sans" w:cs="Canva Sans" w:eastAsia="Canva Sans"/>
          <w:color w:val="000000"/>
          <w:sz w:val="24"/>
          <w:szCs w:val="24"/>
        </w:rPr>
        <w:t>However, there's a significant housing shortage:</w:t>
      </w:r>
      <w:r>
        <w:rPr>
          <w:rFonts w:ascii="Canva Sans" w:hAnsi="Canva Sans" w:cs="Canva Sans" w:eastAsia="Canva Sans"/>
          <w:color w:val="000000"/>
          <w:sz w:val="24"/>
          <w:szCs w:val="24"/>
        </w:rPr>
        <w:t xml:space="preserve">
</w:t>
      </w:r>
    </w:p>
    <w:p>
      <w:pPr>
        <w:numPr>
          <w:ilvl w:val="1"/>
          <w:numId w:val="2"/>
        </w:numPr>
        <w:spacing w:after="0" w:before="0" w:line="336" w:lineRule="auto"/>
        <w:jc w:val="start"/>
      </w:pPr>
      <w:r>
        <w:rPr>
          <w:rFonts w:ascii="Canva Sans" w:hAnsi="Canva Sans" w:cs="Canva Sans" w:eastAsia="Canva Sans"/>
          <w:color w:val="000000"/>
          <w:sz w:val="24"/>
          <w:szCs w:val="24"/>
        </w:rPr>
        <w:t>Chicago needs approximately 142,000 more homes to meet residents' needs</w:t>
      </w:r>
      <w:hyperlink r:id="rId6">
        <w:r>
          <w:rPr>
            <w:rFonts w:ascii="Canva Sans" w:hAnsi="Canva Sans" w:cs="Canva Sans" w:eastAsia="Canva Sans"/>
            <w:color w:val="000000"/>
            <w:sz w:val="24"/>
            <w:szCs w:val="24"/>
            <w:u w:val="single" w:color="000000"/>
          </w:rPr>
          <w:t xml:space="preserve">
</w:t>
        </w:r>
      </w:hyperlink>
    </w:p>
    <w:p>
      <w:pPr>
        <w:numPr>
          <w:ilvl w:val="1"/>
          <w:numId w:val="2"/>
        </w:numPr>
        <w:spacing w:after="0" w:before="0" w:line="336" w:lineRule="auto"/>
        <w:jc w:val="start"/>
      </w:pPr>
      <w:r>
        <w:rPr>
          <w:rFonts w:ascii="Canva Sans" w:hAnsi="Canva Sans" w:cs="Canva Sans" w:eastAsia="Canva Sans"/>
          <w:color w:val="000000"/>
          <w:sz w:val="24"/>
          <w:szCs w:val="24"/>
        </w:rPr>
        <w:t xml:space="preserve">This shortage is driving up prices and creating opportunities for developers and investors.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Specific Opportunities in the South and West Side and Suburbs
</w:t>
      </w:r>
    </w:p>
    <w:p>
      <w:pPr>
        <w:numPr>
          <w:ilvl w:val="0"/>
          <w:numId w:val="3"/>
        </w:numPr>
        <w:spacing w:after="0" w:before="0" w:line="336" w:lineRule="auto"/>
        <w:jc w:val="start"/>
      </w:pPr>
      <w:r>
        <w:rPr>
          <w:rFonts w:ascii="Canva Sans" w:hAnsi="Canva Sans" w:cs="Canva Sans" w:eastAsia="Canva Sans"/>
          <w:color w:val="000000"/>
          <w:sz w:val="24"/>
          <w:szCs w:val="24"/>
        </w:rPr>
        <w:t xml:space="preserve">The INVEST South/West initiative is creating significant opportunities in these areas:
</w:t>
      </w:r>
    </w:p>
    <w:p>
      <w:pPr>
        <w:numPr>
          <w:ilvl w:val="1"/>
          <w:numId w:val="3"/>
        </w:numPr>
        <w:spacing w:after="0" w:before="0" w:line="336" w:lineRule="auto"/>
        <w:jc w:val="start"/>
      </w:pPr>
      <w:r>
        <w:rPr>
          <w:rFonts w:ascii="Canva Sans" w:hAnsi="Canva Sans" w:cs="Canva Sans" w:eastAsia="Canva Sans"/>
          <w:color w:val="000000"/>
          <w:sz w:val="24"/>
          <w:szCs w:val="24"/>
        </w:rPr>
        <w:t>$750 million in city funding is being directed to revitalize these neighborhoods</w:t>
      </w:r>
      <w:hyperlink r:id="rId7">
        <w:r>
          <w:rPr>
            <w:rFonts w:ascii="Canva Sans" w:hAnsi="Canva Sans" w:cs="Canva Sans" w:eastAsia="Canva Sans"/>
            <w:color w:val="000000"/>
            <w:sz w:val="24"/>
            <w:szCs w:val="24"/>
            <w:u w:val="single" w:color="000000"/>
          </w:rPr>
          <w:t xml:space="preserve">
</w:t>
        </w:r>
      </w:hyperlink>
    </w:p>
    <w:p>
      <w:pPr>
        <w:numPr>
          <w:ilvl w:val="1"/>
          <w:numId w:val="3"/>
        </w:numPr>
        <w:spacing w:after="0" w:before="0" w:line="336" w:lineRule="auto"/>
        <w:jc w:val="start"/>
      </w:pPr>
      <w:r>
        <w:rPr>
          <w:rFonts w:ascii="Canva Sans" w:hAnsi="Canva Sans" w:cs="Canva Sans" w:eastAsia="Canva Sans"/>
          <w:color w:val="000000"/>
          <w:sz w:val="24"/>
          <w:szCs w:val="24"/>
        </w:rPr>
        <w:t xml:space="preserve">This initiative is attracting private investment and improving infrastructure.
</w:t>
      </w:r>
    </w:p>
    <w:p>
      <w:pPr>
        <w:numPr>
          <w:ilvl w:val="1"/>
          <w:numId w:val="3"/>
        </w:numPr>
        <w:spacing w:after="0" w:before="0" w:line="336" w:lineRule="auto"/>
        <w:jc w:val="start"/>
      </w:pPr>
      <w:r>
        <w:rPr>
          <w:rFonts w:ascii="Canva Sans" w:hAnsi="Canva Sans" w:cs="Canva Sans" w:eastAsia="Canva Sans"/>
          <w:color w:val="000000"/>
          <w:sz w:val="24"/>
          <w:szCs w:val="24"/>
        </w:rPr>
        <w:t>Emerging neighborhoods like Bronzeville and Bridgeport are seeing increased interest:</w:t>
      </w:r>
      <w:r>
        <w:rPr>
          <w:rFonts w:ascii="Canva Sans" w:hAnsi="Canva Sans" w:cs="Canva Sans" w:eastAsia="Canva Sans"/>
          <w:color w:val="000000"/>
          <w:sz w:val="24"/>
          <w:szCs w:val="24"/>
        </w:rPr>
        <w:t xml:space="preserve">
</w:t>
      </w:r>
    </w:p>
    <w:p>
      <w:pPr>
        <w:numPr>
          <w:ilvl w:val="1"/>
          <w:numId w:val="3"/>
        </w:numPr>
        <w:spacing w:after="0" w:before="0" w:line="336" w:lineRule="auto"/>
        <w:jc w:val="start"/>
      </w:pPr>
      <w:r>
        <w:rPr>
          <w:rFonts w:ascii="Canva Sans" w:hAnsi="Canva Sans" w:cs="Canva Sans" w:eastAsia="Canva Sans"/>
          <w:color w:val="000000"/>
          <w:sz w:val="24"/>
          <w:szCs w:val="24"/>
        </w:rPr>
        <w:t xml:space="preserve">These areas offer more affordable options compared to downtown, with potential for appreciation.
</w:t>
      </w:r>
    </w:p>
    <w:p>
      <w:pPr>
        <w:numPr>
          <w:ilvl w:val="1"/>
          <w:numId w:val="3"/>
        </w:numPr>
        <w:spacing w:after="0" w:before="0" w:line="336" w:lineRule="auto"/>
        <w:jc w:val="start"/>
      </w:pPr>
      <w:r>
        <w:rPr>
          <w:rFonts w:ascii="Canva Sans" w:hAnsi="Canva Sans" w:cs="Canva Sans" w:eastAsia="Canva Sans"/>
          <w:color w:val="000000"/>
          <w:sz w:val="24"/>
          <w:szCs w:val="24"/>
        </w:rPr>
        <w:t xml:space="preserve">They're benefiting from the spillover effect of downtown development and improved transit connections.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INVEST South/West Initiative Impact
</w:t>
      </w:r>
    </w:p>
    <w:p>
      <w:pPr>
        <w:numPr>
          <w:ilvl w:val="0"/>
          <w:numId w:val="4"/>
        </w:numPr>
        <w:spacing w:after="0" w:before="0" w:line="336" w:lineRule="auto"/>
        <w:jc w:val="start"/>
      </w:pPr>
      <w:r>
        <w:rPr>
          <w:rFonts w:ascii="Canva Sans" w:hAnsi="Canva Sans" w:cs="Canva Sans" w:eastAsia="Canva Sans"/>
          <w:color w:val="000000"/>
          <w:sz w:val="24"/>
          <w:szCs w:val="24"/>
        </w:rPr>
        <w:t xml:space="preserve">The initiative is catalyzing development in 10 community areas on the South and West sides:
</w:t>
      </w:r>
    </w:p>
    <w:p>
      <w:pPr>
        <w:numPr>
          <w:ilvl w:val="1"/>
          <w:numId w:val="4"/>
        </w:numPr>
        <w:spacing w:after="0" w:before="0" w:line="336" w:lineRule="auto"/>
        <w:jc w:val="start"/>
      </w:pPr>
      <w:r>
        <w:rPr>
          <w:rFonts w:ascii="Canva Sans" w:hAnsi="Canva Sans" w:cs="Canva Sans" w:eastAsia="Canva Sans"/>
          <w:color w:val="000000"/>
          <w:sz w:val="24"/>
          <w:szCs w:val="24"/>
        </w:rPr>
        <w:t xml:space="preserve">It's focusing on key commercial corridors to drive economic growth.
</w:t>
      </w:r>
    </w:p>
    <w:p>
      <w:pPr>
        <w:numPr>
          <w:ilvl w:val="1"/>
          <w:numId w:val="4"/>
        </w:numPr>
        <w:spacing w:after="0" w:before="0" w:line="336" w:lineRule="auto"/>
        <w:jc w:val="start"/>
      </w:pPr>
      <w:r>
        <w:rPr>
          <w:rFonts w:ascii="Canva Sans" w:hAnsi="Canva Sans" w:cs="Canva Sans" w:eastAsia="Canva Sans"/>
          <w:color w:val="000000"/>
          <w:sz w:val="24"/>
          <w:szCs w:val="24"/>
        </w:rPr>
        <w:t xml:space="preserve">The program is encouraging mixed-use developments, combining residential and commercial spaces.
</w:t>
      </w:r>
    </w:p>
    <w:p>
      <w:pPr>
        <w:numPr>
          <w:ilvl w:val="0"/>
          <w:numId w:val="4"/>
        </w:numPr>
        <w:spacing w:after="0" w:before="0" w:line="336" w:lineRule="auto"/>
        <w:jc w:val="start"/>
      </w:pPr>
      <w:r>
        <w:rPr>
          <w:rFonts w:ascii="Canva Sans" w:hAnsi="Canva Sans" w:cs="Canva Sans" w:eastAsia="Canva Sans"/>
          <w:color w:val="000000"/>
          <w:sz w:val="24"/>
          <w:szCs w:val="24"/>
        </w:rPr>
        <w:t xml:space="preserve">This initiative is creating opportunities for:
</w:t>
      </w:r>
    </w:p>
    <w:p>
      <w:pPr>
        <w:numPr>
          <w:ilvl w:val="1"/>
          <w:numId w:val="4"/>
        </w:numPr>
        <w:spacing w:after="0" w:before="0" w:line="336" w:lineRule="auto"/>
        <w:jc w:val="start"/>
      </w:pPr>
      <w:r>
        <w:rPr>
          <w:rFonts w:ascii="Canva Sans" w:hAnsi="Canva Sans" w:cs="Canva Sans" w:eastAsia="Canva Sans"/>
          <w:color w:val="000000"/>
          <w:sz w:val="24"/>
          <w:szCs w:val="24"/>
        </w:rPr>
        <w:t xml:space="preserve">Residential developers to build new housing units.
</w:t>
      </w:r>
    </w:p>
    <w:p>
      <w:pPr>
        <w:numPr>
          <w:ilvl w:val="1"/>
          <w:numId w:val="4"/>
        </w:numPr>
        <w:spacing w:after="0" w:before="0" w:line="336" w:lineRule="auto"/>
        <w:jc w:val="start"/>
      </w:pPr>
      <w:r>
        <w:rPr>
          <w:rFonts w:ascii="Canva Sans" w:hAnsi="Canva Sans" w:cs="Canva Sans" w:eastAsia="Canva Sans"/>
          <w:color w:val="000000"/>
          <w:sz w:val="24"/>
          <w:szCs w:val="24"/>
        </w:rPr>
        <w:t xml:space="preserve">Commercial real estate investors to capitalize on revitalized business districts.
</w:t>
      </w:r>
    </w:p>
    <w:p>
      <w:pPr>
        <w:numPr>
          <w:ilvl w:val="1"/>
          <w:numId w:val="4"/>
        </w:numPr>
        <w:spacing w:after="0" w:before="0" w:line="336" w:lineRule="auto"/>
        <w:jc w:val="start"/>
      </w:pPr>
      <w:r>
        <w:rPr>
          <w:rFonts w:ascii="Canva Sans" w:hAnsi="Canva Sans" w:cs="Canva Sans" w:eastAsia="Canva Sans"/>
          <w:color w:val="000000"/>
          <w:sz w:val="24"/>
          <w:szCs w:val="24"/>
        </w:rPr>
        <w:t xml:space="preserve">Renovation and adaptive reuse projects in older buildings.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Commercial and Residential Market Trends
</w:t>
      </w:r>
    </w:p>
    <w:p>
      <w:pPr>
        <w:numPr>
          <w:ilvl w:val="0"/>
          <w:numId w:val="5"/>
        </w:numPr>
        <w:spacing w:after="0" w:before="0" w:line="336" w:lineRule="auto"/>
        <w:jc w:val="start"/>
      </w:pPr>
      <w:r>
        <w:rPr>
          <w:rFonts w:ascii="Canva Sans" w:hAnsi="Canva Sans" w:cs="Canva Sans" w:eastAsia="Canva Sans"/>
          <w:color w:val="000000"/>
          <w:sz w:val="24"/>
          <w:szCs w:val="24"/>
        </w:rPr>
        <w:t xml:space="preserve">Commercial trends:
</w:t>
      </w:r>
    </w:p>
    <w:p>
      <w:pPr>
        <w:numPr>
          <w:ilvl w:val="1"/>
          <w:numId w:val="5"/>
        </w:numPr>
        <w:spacing w:after="0" w:before="0" w:line="336" w:lineRule="auto"/>
        <w:jc w:val="start"/>
      </w:pPr>
      <w:r>
        <w:rPr>
          <w:rFonts w:ascii="Canva Sans" w:hAnsi="Canva Sans" w:cs="Canva Sans" w:eastAsia="Canva Sans"/>
          <w:color w:val="000000"/>
          <w:sz w:val="24"/>
          <w:szCs w:val="24"/>
        </w:rPr>
        <w:t xml:space="preserve">There's growing interest in mixed-use developments, particularly in areas targeted by INVEST South/West.
</w:t>
      </w:r>
    </w:p>
    <w:p>
      <w:pPr>
        <w:numPr>
          <w:ilvl w:val="1"/>
          <w:numId w:val="5"/>
        </w:numPr>
        <w:spacing w:after="0" w:before="0" w:line="336" w:lineRule="auto"/>
        <w:jc w:val="start"/>
      </w:pPr>
      <w:r>
        <w:rPr>
          <w:rFonts w:ascii="Canva Sans" w:hAnsi="Canva Sans" w:cs="Canva Sans" w:eastAsia="Canva Sans"/>
          <w:color w:val="000000"/>
          <w:sz w:val="24"/>
          <w:szCs w:val="24"/>
        </w:rPr>
        <w:t xml:space="preserve">Demand for flexible office spaces is increasing as companies adapt to hybrid work models.
</w:t>
      </w:r>
    </w:p>
    <w:p>
      <w:pPr>
        <w:numPr>
          <w:ilvl w:val="0"/>
          <w:numId w:val="5"/>
        </w:numPr>
        <w:spacing w:after="0" w:before="0" w:line="336" w:lineRule="auto"/>
        <w:jc w:val="start"/>
      </w:pPr>
      <w:r>
        <w:rPr>
          <w:rFonts w:ascii="Canva Sans" w:hAnsi="Canva Sans" w:cs="Canva Sans" w:eastAsia="Canva Sans"/>
          <w:color w:val="000000"/>
          <w:sz w:val="24"/>
          <w:szCs w:val="24"/>
        </w:rPr>
        <w:t xml:space="preserve">Residential trends:
</w:t>
      </w:r>
    </w:p>
    <w:p>
      <w:pPr>
        <w:numPr>
          <w:ilvl w:val="1"/>
          <w:numId w:val="5"/>
        </w:numPr>
        <w:spacing w:after="0" w:before="0" w:line="336" w:lineRule="auto"/>
        <w:jc w:val="start"/>
      </w:pPr>
      <w:r>
        <w:rPr>
          <w:rFonts w:ascii="Canva Sans" w:hAnsi="Canva Sans" w:cs="Canva Sans" w:eastAsia="Canva Sans"/>
          <w:color w:val="000000"/>
          <w:sz w:val="24"/>
          <w:szCs w:val="24"/>
        </w:rPr>
        <w:t>Single-family homes in the suburbs are seeing strong demand, with prices up 7.5% year-over-year</w:t>
      </w:r>
      <w:hyperlink r:id="rId8">
        <w:r>
          <w:rPr>
            <w:rFonts w:ascii="Canva Sans" w:hAnsi="Canva Sans" w:cs="Canva Sans" w:eastAsia="Canva Sans"/>
            <w:color w:val="000000"/>
            <w:sz w:val="24"/>
            <w:szCs w:val="24"/>
            <w:u w:val="single" w:color="000000"/>
          </w:rPr>
          <w:t xml:space="preserve">
</w:t>
        </w:r>
      </w:hyperlink>
    </w:p>
    <w:p>
      <w:pPr>
        <w:numPr>
          <w:ilvl w:val="1"/>
          <w:numId w:val="5"/>
        </w:numPr>
        <w:spacing w:after="0" w:before="0" w:line="336" w:lineRule="auto"/>
        <w:jc w:val="start"/>
      </w:pPr>
      <w:hyperlink r:id="rId9">
        <w:r>
          <w:rPr>
            <w:rFonts w:ascii="Canva Sans" w:hAnsi="Canva Sans" w:cs="Canva Sans" w:eastAsia="Canva Sans"/>
            <w:color w:val="000000"/>
            <w:sz w:val="24"/>
            <w:szCs w:val="24"/>
            <w:u w:val="single" w:color="000000"/>
          </w:rPr>
          <w:t>1</w:t>
        </w:r>
      </w:hyperlink>
      <w:hyperlink r:id="rId10">
        <w:r>
          <w:rPr>
            <w:rFonts w:ascii="Canva Sans" w:hAnsi="Canva Sans" w:cs="Canva Sans" w:eastAsia="Canva Sans"/>
            <w:color w:val="000000"/>
            <w:sz w:val="24"/>
            <w:szCs w:val="24"/>
            <w:u w:val="single" w:color="000000"/>
          </w:rPr>
          <w:t xml:space="preserve">
</w:t>
        </w:r>
      </w:hyperlink>
    </w:p>
    <w:p>
      <w:pPr>
        <w:numPr>
          <w:ilvl w:val="1"/>
          <w:numId w:val="5"/>
        </w:numPr>
        <w:spacing w:after="0" w:before="0" w:line="336" w:lineRule="auto"/>
        <w:jc w:val="start"/>
      </w:pPr>
      <w:r>
        <w:rPr>
          <w:rFonts w:ascii="Canva Sans" w:hAnsi="Canva Sans" w:cs="Canva Sans" w:eastAsia="Canva Sans"/>
          <w:color w:val="000000"/>
          <w:sz w:val="24"/>
          <w:szCs w:val="24"/>
        </w:rPr>
        <w:t xml:space="preserve">.
</w:t>
      </w:r>
    </w:p>
    <w:p>
      <w:pPr>
        <w:numPr>
          <w:ilvl w:val="1"/>
          <w:numId w:val="5"/>
        </w:numPr>
        <w:spacing w:after="0" w:before="0" w:line="336" w:lineRule="auto"/>
        <w:jc w:val="start"/>
      </w:pPr>
      <w:r>
        <w:rPr>
          <w:rFonts w:ascii="Canva Sans" w:hAnsi="Canva Sans" w:cs="Canva Sans" w:eastAsia="Canva Sans"/>
          <w:color w:val="000000"/>
          <w:sz w:val="24"/>
          <w:szCs w:val="24"/>
        </w:rPr>
        <w:t xml:space="preserve">Multi-family developments in emerging neighborhoods are attracting investors due to potential for appreciation.
</w:t>
      </w:r>
    </w:p>
    <w:p>
      <w:pPr>
        <w:numPr>
          <w:ilvl w:val="1"/>
          <w:numId w:val="5"/>
        </w:numPr>
        <w:spacing w:after="0" w:before="0" w:line="336" w:lineRule="auto"/>
        <w:jc w:val="start"/>
      </w:pPr>
      <w:r>
        <w:rPr>
          <w:rFonts w:ascii="Canva Sans" w:hAnsi="Canva Sans" w:cs="Canva Sans" w:eastAsia="Canva Sans"/>
          <w:color w:val="000000"/>
          <w:sz w:val="24"/>
          <w:szCs w:val="24"/>
        </w:rPr>
        <w:t xml:space="preserve">Renovation opportunities are abundant, especially in older properties in up-and-coming areas.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Investment Opportunities
</w:t>
      </w:r>
    </w:p>
    <w:p>
      <w:pPr>
        <w:numPr>
          <w:ilvl w:val="0"/>
          <w:numId w:val="6"/>
        </w:numPr>
        <w:spacing w:after="0" w:before="0" w:line="336" w:lineRule="auto"/>
        <w:jc w:val="start"/>
      </w:pPr>
      <w:r>
        <w:rPr>
          <w:rFonts w:ascii="Canva Sans" w:hAnsi="Canva Sans" w:cs="Canva Sans" w:eastAsia="Canva Sans"/>
          <w:color w:val="000000"/>
          <w:sz w:val="24"/>
          <w:szCs w:val="24"/>
        </w:rPr>
        <w:t xml:space="preserve">Fix-and-flip projects in emerging neighborhoods, capitalizing on the price gap between renovated and unrenovated properties.
</w:t>
      </w:r>
    </w:p>
    <w:p>
      <w:pPr>
        <w:numPr>
          <w:ilvl w:val="0"/>
          <w:numId w:val="6"/>
        </w:numPr>
        <w:spacing w:after="0" w:before="0" w:line="336" w:lineRule="auto"/>
        <w:jc w:val="start"/>
      </w:pPr>
      <w:r>
        <w:rPr>
          <w:rFonts w:ascii="Canva Sans" w:hAnsi="Canva Sans" w:cs="Canva Sans" w:eastAsia="Canva Sans"/>
          <w:color w:val="000000"/>
          <w:sz w:val="24"/>
          <w:szCs w:val="24"/>
        </w:rPr>
        <w:t xml:space="preserve">Multi-family developments near transit hubs in South and West Side neighborhoods.
</w:t>
      </w:r>
    </w:p>
    <w:p>
      <w:pPr>
        <w:numPr>
          <w:ilvl w:val="0"/>
          <w:numId w:val="6"/>
        </w:numPr>
        <w:spacing w:after="0" w:before="0" w:line="336" w:lineRule="auto"/>
        <w:jc w:val="start"/>
      </w:pPr>
      <w:r>
        <w:rPr>
          <w:rFonts w:ascii="Canva Sans" w:hAnsi="Canva Sans" w:cs="Canva Sans" w:eastAsia="Canva Sans"/>
          <w:color w:val="000000"/>
          <w:sz w:val="24"/>
          <w:szCs w:val="24"/>
        </w:rPr>
        <w:t xml:space="preserve">Mixed-use projects in areas targeted by INVEST South/West, combining residential and commercial spaces.
</w:t>
      </w:r>
    </w:p>
    <w:p>
      <w:pPr>
        <w:numPr>
          <w:ilvl w:val="0"/>
          <w:numId w:val="6"/>
        </w:numPr>
        <w:spacing w:after="0" w:before="0" w:line="336" w:lineRule="auto"/>
        <w:jc w:val="start"/>
      </w:pPr>
      <w:r>
        <w:rPr>
          <w:rFonts w:ascii="Canva Sans" w:hAnsi="Canva Sans" w:cs="Canva Sans" w:eastAsia="Canva Sans"/>
          <w:color w:val="000000"/>
          <w:sz w:val="24"/>
          <w:szCs w:val="24"/>
        </w:rPr>
        <w:t xml:space="preserve">Affordable housing developments, addressing the city's housing shortage while benefiting from potential incentives.
</w:t>
      </w:r>
    </w:p>
    <w:p>
      <w:pPr>
        <w:spacing w:after="120" w:before="120" w:line="336" w:lineRule="auto"/>
        <w:ind w:firstLine="0" w:start="0"/>
        <w:jc w:val="start"/>
      </w:pPr>
      <w:r>
        <w:rPr>
          <w:rFonts w:ascii="Canva Sans" w:hAnsi="Canva Sans" w:cs="Canva Sans" w:eastAsia="Canva Sans"/>
          <w:color w:val="000000"/>
          <w:sz w:val="24"/>
          <w:szCs w:val="24"/>
        </w:rPr>
        <w:t xml:space="preserve">This analysis suggests that Chicago's real estate market, particularly in the South and West Side areas, offers significant opportunities for investors and developers. The INVEST South/West initiative is creating a favorable environment for growth, while the overall housing shortage in the city is driving demand across various property types.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3 </w:t>
      </w:r>
      <w:r>
        <w:rPr>
          <w:rFonts w:ascii="Canva Sans Medium" w:hAnsi="Canva Sans Medium" w:cs="Canva Sans Medium" w:eastAsia="Canva Sans Medium"/>
          <w:b/>
          <w:bCs/>
          <w:color w:val="000000"/>
          <w:sz w:val="36"/>
          <w:szCs w:val="36"/>
        </w:rPr>
        <w:t xml:space="preserve">Investment Strategy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3.1 Property Types
</w:t>
      </w:r>
    </w:p>
    <w:p>
      <w:pPr>
        <w:numPr>
          <w:ilvl w:val="0"/>
          <w:numId w:val="7"/>
        </w:numPr>
        <w:spacing w:after="0" w:before="0" w:line="336" w:lineRule="auto"/>
        <w:jc w:val="start"/>
      </w:pPr>
      <w:r>
        <w:rPr>
          <w:rFonts w:ascii="Canva Sans" w:hAnsi="Canva Sans" w:cs="Canva Sans" w:eastAsia="Canva Sans"/>
          <w:color w:val="000000"/>
          <w:sz w:val="24"/>
          <w:szCs w:val="24"/>
        </w:rPr>
        <w:t xml:space="preserve">Residential: Single-family homes, multi-family units
</w:t>
      </w:r>
    </w:p>
    <w:p>
      <w:pPr>
        <w:numPr>
          <w:ilvl w:val="0"/>
          <w:numId w:val="7"/>
        </w:numPr>
        <w:spacing w:after="0" w:before="0" w:line="336" w:lineRule="auto"/>
        <w:jc w:val="start"/>
      </w:pPr>
      <w:r>
        <w:rPr>
          <w:rFonts w:ascii="Canva Sans" w:hAnsi="Canva Sans" w:cs="Canva Sans" w:eastAsia="Canva Sans"/>
          <w:color w:val="000000"/>
          <w:sz w:val="24"/>
          <w:szCs w:val="24"/>
        </w:rPr>
        <w:t xml:space="preserve">Commercial: Retail spaces, office buildings
</w:t>
      </w:r>
    </w:p>
    <w:p>
      <w:pPr>
        <w:numPr>
          <w:ilvl w:val="0"/>
          <w:numId w:val="7"/>
        </w:numPr>
        <w:spacing w:after="0" w:before="0" w:line="336" w:lineRule="auto"/>
        <w:jc w:val="start"/>
      </w:pPr>
      <w:r>
        <w:rPr>
          <w:rFonts w:ascii="Canva Sans" w:hAnsi="Canva Sans" w:cs="Canva Sans" w:eastAsia="Canva Sans"/>
          <w:color w:val="000000"/>
          <w:sz w:val="24"/>
          <w:szCs w:val="24"/>
        </w:rPr>
        <w:t xml:space="preserve">Mixed-use properties
</w:t>
      </w:r>
    </w:p>
    <w:p>
      <w:pPr>
        <w:numPr>
          <w:ilvl w:val="0"/>
          <w:numId w:val="7"/>
        </w:numPr>
        <w:spacing w:after="0" w:before="0" w:line="336" w:lineRule="auto"/>
        <w:jc w:val="start"/>
      </w:pPr>
      <w:r>
        <w:rPr>
          <w:rFonts w:ascii="Canva Sans" w:hAnsi="Canva Sans" w:cs="Canva Sans" w:eastAsia="Canva Sans"/>
          <w:color w:val="000000"/>
          <w:sz w:val="24"/>
          <w:szCs w:val="24"/>
        </w:rPr>
        <w:t xml:space="preserve">Fixer-uppers and value-add opportunities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3.2 Value-Add Approach
</w:t>
      </w:r>
    </w:p>
    <w:p>
      <w:pPr>
        <w:numPr>
          <w:ilvl w:val="0"/>
          <w:numId w:val="8"/>
        </w:numPr>
        <w:spacing w:after="0" w:before="0" w:line="336" w:lineRule="auto"/>
        <w:jc w:val="start"/>
      </w:pPr>
      <w:r>
        <w:rPr>
          <w:rFonts w:ascii="Canva Sans" w:hAnsi="Canva Sans" w:cs="Canva Sans" w:eastAsia="Canva Sans"/>
          <w:color w:val="000000"/>
          <w:sz w:val="24"/>
          <w:szCs w:val="24"/>
        </w:rPr>
        <w:t xml:space="preserve">Renovation and modernization strategies
</w:t>
      </w:r>
    </w:p>
    <w:p>
      <w:pPr>
        <w:numPr>
          <w:ilvl w:val="0"/>
          <w:numId w:val="8"/>
        </w:numPr>
        <w:spacing w:after="0" w:before="0" w:line="336" w:lineRule="auto"/>
        <w:jc w:val="start"/>
      </w:pPr>
      <w:r>
        <w:rPr>
          <w:rFonts w:ascii="Canva Sans" w:hAnsi="Canva Sans" w:cs="Canva Sans" w:eastAsia="Canva Sans"/>
          <w:color w:val="000000"/>
          <w:sz w:val="24"/>
          <w:szCs w:val="24"/>
        </w:rPr>
        <w:t xml:space="preserve">Energy efficiency improvements
</w:t>
      </w:r>
    </w:p>
    <w:p>
      <w:pPr>
        <w:numPr>
          <w:ilvl w:val="0"/>
          <w:numId w:val="8"/>
        </w:numPr>
        <w:spacing w:after="0" w:before="0" w:line="336" w:lineRule="auto"/>
        <w:jc w:val="start"/>
      </w:pPr>
      <w:r>
        <w:rPr>
          <w:rFonts w:ascii="Canva Sans" w:hAnsi="Canva Sans" w:cs="Canva Sans" w:eastAsia="Canva Sans"/>
          <w:color w:val="000000"/>
          <w:sz w:val="24"/>
          <w:szCs w:val="24"/>
        </w:rPr>
        <w:t xml:space="preserve">Commercial space conversions
</w:t>
      </w:r>
    </w:p>
    <w:p>
      <w:pPr>
        <w:numPr>
          <w:ilvl w:val="0"/>
          <w:numId w:val="8"/>
        </w:numPr>
        <w:spacing w:after="0" w:before="0" w:line="336" w:lineRule="auto"/>
        <w:jc w:val="start"/>
      </w:pPr>
      <w:r>
        <w:rPr>
          <w:rFonts w:ascii="Canva Sans" w:hAnsi="Canva Sans" w:cs="Canva Sans" w:eastAsia="Canva Sans"/>
          <w:color w:val="000000"/>
          <w:sz w:val="24"/>
          <w:szCs w:val="24"/>
        </w:rPr>
        <w:t xml:space="preserve">Leveraging carpentry expertise for cost-effective improvements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3.3 Target Areas
</w:t>
      </w:r>
    </w:p>
    <w:p>
      <w:pPr>
        <w:numPr>
          <w:ilvl w:val="0"/>
          <w:numId w:val="9"/>
        </w:numPr>
        <w:spacing w:after="0" w:before="0" w:line="336" w:lineRule="auto"/>
        <w:jc w:val="start"/>
      </w:pPr>
      <w:r>
        <w:rPr>
          <w:rFonts w:ascii="Canva Sans" w:hAnsi="Canva Sans" w:cs="Canva Sans" w:eastAsia="Canva Sans"/>
          <w:color w:val="000000"/>
          <w:sz w:val="24"/>
          <w:szCs w:val="24"/>
        </w:rPr>
        <w:t xml:space="preserve">Specific neighborhoods with high growth potential
</w:t>
      </w:r>
    </w:p>
    <w:p>
      <w:pPr>
        <w:numPr>
          <w:ilvl w:val="0"/>
          <w:numId w:val="9"/>
        </w:numPr>
        <w:spacing w:after="0" w:before="0" w:line="336" w:lineRule="auto"/>
        <w:jc w:val="start"/>
      </w:pPr>
      <w:r>
        <w:rPr>
          <w:rFonts w:ascii="Canva Sans" w:hAnsi="Canva Sans" w:cs="Canva Sans" w:eastAsia="Canva Sans"/>
          <w:color w:val="000000"/>
          <w:sz w:val="24"/>
          <w:szCs w:val="24"/>
        </w:rPr>
        <w:t xml:space="preserve">Proximity to planned developments or infrastructure projects
</w:t>
      </w:r>
    </w:p>
    <w:p>
      <w:pPr>
        <w:numPr>
          <w:ilvl w:val="0"/>
          <w:numId w:val="9"/>
        </w:numPr>
        <w:spacing w:after="0" w:before="0" w:line="336" w:lineRule="auto"/>
        <w:jc w:val="start"/>
      </w:pPr>
      <w:r>
        <w:rPr>
          <w:rFonts w:ascii="Canva Sans" w:hAnsi="Canva Sans" w:cs="Canva Sans" w:eastAsia="Canva Sans"/>
          <w:color w:val="000000"/>
          <w:sz w:val="24"/>
          <w:szCs w:val="24"/>
        </w:rPr>
        <w:t xml:space="preserve">Areas benefiting from city initiatives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4. Group Structure and Operations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4.1 Legal Structure
</w:t>
      </w:r>
    </w:p>
    <w:p>
      <w:pPr>
        <w:numPr>
          <w:ilvl w:val="0"/>
          <w:numId w:val="10"/>
        </w:numPr>
        <w:spacing w:after="0" w:before="0" w:line="336" w:lineRule="auto"/>
        <w:jc w:val="start"/>
      </w:pPr>
      <w:r>
        <w:rPr>
          <w:rFonts w:ascii="Canva Sans" w:hAnsi="Canva Sans" w:cs="Canva Sans" w:eastAsia="Canva Sans"/>
          <w:color w:val="000000"/>
          <w:sz w:val="24"/>
          <w:szCs w:val="24"/>
        </w:rPr>
        <w:t xml:space="preserve">LLC or LP formation details
</w:t>
      </w:r>
    </w:p>
    <w:p>
      <w:pPr>
        <w:numPr>
          <w:ilvl w:val="0"/>
          <w:numId w:val="10"/>
        </w:numPr>
        <w:spacing w:after="0" w:before="0" w:line="336" w:lineRule="auto"/>
        <w:jc w:val="start"/>
      </w:pPr>
      <w:r>
        <w:rPr>
          <w:rFonts w:ascii="Canva Sans" w:hAnsi="Canva Sans" w:cs="Canva Sans" w:eastAsia="Canva Sans"/>
          <w:color w:val="000000"/>
          <w:sz w:val="24"/>
          <w:szCs w:val="24"/>
        </w:rPr>
        <w:t xml:space="preserve">Roles and responsibilities of members
</w:t>
      </w:r>
    </w:p>
    <w:p>
      <w:pPr>
        <w:numPr>
          <w:ilvl w:val="0"/>
          <w:numId w:val="10"/>
        </w:numPr>
        <w:spacing w:after="0" w:before="0" w:line="336" w:lineRule="auto"/>
        <w:jc w:val="start"/>
      </w:pPr>
      <w:r>
        <w:rPr>
          <w:rFonts w:ascii="Canva Sans" w:hAnsi="Canva Sans" w:cs="Canva Sans" w:eastAsia="Canva Sans"/>
          <w:color w:val="000000"/>
          <w:sz w:val="24"/>
          <w:szCs w:val="24"/>
        </w:rPr>
        <w:t xml:space="preserve">Decision-making processes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Liability Protection</w:t>
      </w:r>
      <w:r>
        <w:rPr>
          <w:rFonts w:ascii="Canva Sans Medium" w:hAnsi="Canva Sans Medium" w:cs="Canva Sans Medium" w:eastAsia="Canva Sans Medium"/>
          <w:b/>
          <w:bCs/>
          <w:color w:val="000000"/>
          <w:sz w:val="28"/>
          <w:szCs w:val="28"/>
        </w:rPr>
        <w:t xml:space="preserve"> under LLC</w:t>
      </w:r>
      <w:r>
        <w:rPr>
          <w:rFonts w:ascii="Canva Sans Medium" w:hAnsi="Canva Sans Medium" w:cs="Canva Sans Medium" w:eastAsia="Canva Sans Medium"/>
          <w:b/>
          <w:bCs/>
          <w:color w:val="000000"/>
          <w:sz w:val="28"/>
          <w:szCs w:val="28"/>
        </w:rPr>
        <w:t xml:space="preserve">
</w:t>
      </w:r>
    </w:p>
    <w:p>
      <w:pPr>
        <w:spacing w:after="120" w:before="120" w:line="336" w:lineRule="auto"/>
        <w:ind w:firstLine="0" w:start="0"/>
        <w:jc w:val="start"/>
      </w:pPr>
      <w:r>
        <w:rPr>
          <w:rFonts w:ascii="Canva Sans" w:hAnsi="Canva Sans" w:cs="Canva Sans" w:eastAsia="Canva Sans"/>
          <w:color w:val="000000"/>
          <w:sz w:val="24"/>
          <w:szCs w:val="24"/>
        </w:rPr>
        <w:t>An LLC provides a crucial layer of protection for your personal assets:</w:t>
      </w:r>
      <w:r>
        <w:rPr>
          <w:rFonts w:ascii="Canva Sans" w:hAnsi="Canva Sans" w:cs="Canva Sans" w:eastAsia="Canva Sans"/>
          <w:color w:val="000000"/>
          <w:sz w:val="24"/>
          <w:szCs w:val="24"/>
        </w:rPr>
        <w:t xml:space="preserve">
</w:t>
      </w:r>
    </w:p>
    <w:p>
      <w:pPr>
        <w:numPr>
          <w:ilvl w:val="0"/>
          <w:numId w:val="11"/>
        </w:numPr>
        <w:spacing w:after="0" w:before="0" w:line="336" w:lineRule="auto"/>
        <w:jc w:val="start"/>
      </w:pPr>
      <w:r>
        <w:rPr>
          <w:rFonts w:ascii="Canva Sans Medium" w:hAnsi="Canva Sans Medium" w:cs="Canva Sans Medium" w:eastAsia="Canva Sans Medium"/>
          <w:b/>
          <w:bCs/>
          <w:color w:val="000000"/>
          <w:sz w:val="24"/>
          <w:szCs w:val="24"/>
        </w:rPr>
        <w:t>Personal Asset Shield</w:t>
      </w:r>
      <w:r>
        <w:rPr>
          <w:rFonts w:ascii="Canva Sans" w:hAnsi="Canva Sans" w:cs="Canva Sans" w:eastAsia="Canva Sans"/>
          <w:color w:val="000000"/>
          <w:sz w:val="24"/>
          <w:szCs w:val="24"/>
        </w:rPr>
        <w:t>: In an LLC, your personal assets are generally protected from business debts and liabilities</w:t>
      </w:r>
      <w:hyperlink r:id="rId11">
        <w:r>
          <w:rPr>
            <w:rFonts w:ascii="Canva Sans" w:hAnsi="Canva Sans" w:cs="Canva Sans" w:eastAsia="Canva Sans"/>
            <w:color w:val="000000"/>
            <w:sz w:val="24"/>
            <w:szCs w:val="24"/>
            <w:u w:val="single" w:color="000000"/>
          </w:rPr>
          <w:t xml:space="preserve">
</w:t>
        </w:r>
      </w:hyperlink>
    </w:p>
    <w:p>
      <w:pPr>
        <w:numPr>
          <w:ilvl w:val="0"/>
          <w:numId w:val="11"/>
        </w:numPr>
        <w:spacing w:after="0" w:before="0" w:line="336" w:lineRule="auto"/>
        <w:jc w:val="start"/>
      </w:pPr>
      <w:hyperlink r:id="rId12">
        <w:r>
          <w:rPr>
            <w:rFonts w:ascii="Canva Sans" w:hAnsi="Canva Sans" w:cs="Canva Sans" w:eastAsia="Canva Sans"/>
            <w:color w:val="000000"/>
            <w:sz w:val="24"/>
            <w:szCs w:val="24"/>
            <w:u w:val="single" w:color="000000"/>
          </w:rPr>
          <w:t>1</w:t>
        </w:r>
      </w:hyperlink>
      <w:hyperlink r:id="rId13">
        <w:r>
          <w:rPr>
            <w:rFonts w:ascii="Canva Sans" w:hAnsi="Canva Sans" w:cs="Canva Sans" w:eastAsia="Canva Sans"/>
            <w:color w:val="000000"/>
            <w:sz w:val="24"/>
            <w:szCs w:val="24"/>
            <w:u w:val="single" w:color="000000"/>
          </w:rPr>
          <w:t xml:space="preserve">
</w:t>
        </w:r>
      </w:hyperlink>
    </w:p>
    <w:p>
      <w:pPr>
        <w:numPr>
          <w:ilvl w:val="0"/>
          <w:numId w:val="11"/>
        </w:numPr>
        <w:spacing w:after="0" w:before="0" w:line="336" w:lineRule="auto"/>
        <w:jc w:val="start"/>
      </w:pPr>
      <w:r>
        <w:rPr>
          <w:rFonts w:ascii="Canva Sans" w:hAnsi="Canva Sans" w:cs="Canva Sans" w:eastAsia="Canva Sans"/>
          <w:color w:val="000000"/>
          <w:sz w:val="24"/>
          <w:szCs w:val="24"/>
        </w:rPr>
        <w:t xml:space="preserve">. If the business faces legal action or debt collection, creditors typically cannot pursue your personal assets like your home or savings accounts.
</w:t>
      </w:r>
    </w:p>
    <w:p>
      <w:pPr>
        <w:numPr>
          <w:ilvl w:val="0"/>
          <w:numId w:val="11"/>
        </w:numPr>
        <w:spacing w:after="0" w:before="0" w:line="336" w:lineRule="auto"/>
        <w:jc w:val="start"/>
      </w:pPr>
      <w:r>
        <w:rPr>
          <w:rFonts w:ascii="Canva Sans Medium" w:hAnsi="Canva Sans Medium" w:cs="Canva Sans Medium" w:eastAsia="Canva Sans Medium"/>
          <w:b/>
          <w:bCs/>
          <w:color w:val="000000"/>
          <w:sz w:val="24"/>
          <w:szCs w:val="24"/>
        </w:rPr>
        <w:t>Separation of Business and Personal</w:t>
      </w:r>
      <w:r>
        <w:rPr>
          <w:rFonts w:ascii="Canva Sans" w:hAnsi="Canva Sans" w:cs="Canva Sans" w:eastAsia="Canva Sans"/>
          <w:color w:val="000000"/>
          <w:sz w:val="24"/>
          <w:szCs w:val="24"/>
        </w:rPr>
        <w:t>: An LLC creates a distinct legal entity separate from its owners</w:t>
      </w:r>
      <w:hyperlink r:id="rId14">
        <w:r>
          <w:rPr>
            <w:rFonts w:ascii="Canva Sans" w:hAnsi="Canva Sans" w:cs="Canva Sans" w:eastAsia="Canva Sans"/>
            <w:color w:val="000000"/>
            <w:sz w:val="24"/>
            <w:szCs w:val="24"/>
            <w:u w:val="single" w:color="000000"/>
          </w:rPr>
          <w:t xml:space="preserve">
</w:t>
        </w:r>
      </w:hyperlink>
    </w:p>
    <w:p>
      <w:pPr>
        <w:numPr>
          <w:ilvl w:val="0"/>
          <w:numId w:val="11"/>
        </w:numPr>
        <w:spacing w:after="0" w:before="0" w:line="336" w:lineRule="auto"/>
        <w:jc w:val="start"/>
      </w:pPr>
      <w:hyperlink r:id="rId15">
        <w:r>
          <w:rPr>
            <w:rFonts w:ascii="Canva Sans" w:hAnsi="Canva Sans" w:cs="Canva Sans" w:eastAsia="Canva Sans"/>
            <w:color w:val="000000"/>
            <w:sz w:val="24"/>
            <w:szCs w:val="24"/>
            <w:u w:val="single" w:color="000000"/>
          </w:rPr>
          <w:t>3</w:t>
        </w:r>
      </w:hyperlink>
      <w:hyperlink r:id="rId16">
        <w:r>
          <w:rPr>
            <w:rFonts w:ascii="Canva Sans" w:hAnsi="Canva Sans" w:cs="Canva Sans" w:eastAsia="Canva Sans"/>
            <w:color w:val="000000"/>
            <w:sz w:val="24"/>
            <w:szCs w:val="24"/>
            <w:u w:val="single" w:color="000000"/>
          </w:rPr>
          <w:t xml:space="preserve">
</w:t>
        </w:r>
      </w:hyperlink>
    </w:p>
    <w:p>
      <w:pPr>
        <w:numPr>
          <w:ilvl w:val="0"/>
          <w:numId w:val="11"/>
        </w:numPr>
        <w:spacing w:after="0" w:before="0" w:line="336" w:lineRule="auto"/>
        <w:jc w:val="start"/>
      </w:pPr>
      <w:r>
        <w:rPr>
          <w:rFonts w:ascii="Canva Sans" w:hAnsi="Canva Sans" w:cs="Canva Sans" w:eastAsia="Canva Sans"/>
          <w:color w:val="000000"/>
          <w:sz w:val="24"/>
          <w:szCs w:val="24"/>
        </w:rPr>
        <w:t xml:space="preserve">. This separation helps maintain the liability protection, provided you keep business and personal finances separate.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Financial Borrowing Strategies</w:t>
      </w:r>
      <w:r>
        <w:rPr>
          <w:rFonts w:ascii="Canva Sans Medium" w:hAnsi="Canva Sans Medium" w:cs="Canva Sans Medium" w:eastAsia="Canva Sans Medium"/>
          <w:b/>
          <w:bCs/>
          <w:color w:val="000000"/>
          <w:sz w:val="28"/>
          <w:szCs w:val="28"/>
        </w:rPr>
        <w:t xml:space="preserve"> under LLC</w:t>
      </w:r>
      <w:r>
        <w:rPr>
          <w:rFonts w:ascii="Canva Sans Medium" w:hAnsi="Canva Sans Medium" w:cs="Canva Sans Medium" w:eastAsia="Canva Sans Medium"/>
          <w:b/>
          <w:bCs/>
          <w:color w:val="000000"/>
          <w:sz w:val="28"/>
          <w:szCs w:val="28"/>
        </w:rPr>
        <w:t xml:space="preserve">
</w:t>
      </w:r>
    </w:p>
    <w:p>
      <w:pPr>
        <w:spacing w:after="120" w:before="120" w:line="336" w:lineRule="auto"/>
        <w:ind w:firstLine="0" w:start="0"/>
        <w:jc w:val="start"/>
      </w:pPr>
      <w:r>
        <w:rPr>
          <w:rFonts w:ascii="Canva Sans" w:hAnsi="Canva Sans" w:cs="Canva Sans" w:eastAsia="Canva Sans"/>
          <w:color w:val="000000"/>
          <w:sz w:val="24"/>
          <w:szCs w:val="24"/>
        </w:rPr>
        <w:t>LLCs often have advantages when it comes to financing options:</w:t>
      </w:r>
      <w:r>
        <w:rPr>
          <w:rFonts w:ascii="Canva Sans" w:hAnsi="Canva Sans" w:cs="Canva Sans" w:eastAsia="Canva Sans"/>
          <w:color w:val="000000"/>
          <w:sz w:val="24"/>
          <w:szCs w:val="24"/>
        </w:rPr>
        <w:t xml:space="preserve">
</w:t>
      </w:r>
    </w:p>
    <w:p>
      <w:pPr>
        <w:numPr>
          <w:ilvl w:val="0"/>
          <w:numId w:val="12"/>
        </w:numPr>
        <w:spacing w:after="0" w:before="0" w:line="336" w:lineRule="auto"/>
        <w:jc w:val="start"/>
      </w:pPr>
      <w:r>
        <w:rPr>
          <w:rFonts w:ascii="Canva Sans Medium" w:hAnsi="Canva Sans Medium" w:cs="Canva Sans Medium" w:eastAsia="Canva Sans Medium"/>
          <w:b/>
          <w:bCs/>
          <w:color w:val="000000"/>
          <w:sz w:val="24"/>
          <w:szCs w:val="24"/>
        </w:rPr>
        <w:t>Easier Access to Financing</w:t>
      </w:r>
      <w:r>
        <w:rPr>
          <w:rFonts w:ascii="Canva Sans" w:hAnsi="Canva Sans" w:cs="Canva Sans" w:eastAsia="Canva Sans"/>
          <w:color w:val="000000"/>
          <w:sz w:val="24"/>
          <w:szCs w:val="24"/>
        </w:rPr>
        <w:t>: Many hard money or private lenders prefer lending to LLCs rather than individuals, viewing them as more stable and less risky</w:t>
      </w:r>
      <w:hyperlink r:id="rId17">
        <w:r>
          <w:rPr>
            <w:rFonts w:ascii="Canva Sans" w:hAnsi="Canva Sans" w:cs="Canva Sans" w:eastAsia="Canva Sans"/>
            <w:color w:val="000000"/>
            <w:sz w:val="24"/>
            <w:szCs w:val="24"/>
            <w:u w:val="single" w:color="000000"/>
          </w:rPr>
          <w:t xml:space="preserve">
</w:t>
        </w:r>
      </w:hyperlink>
    </w:p>
    <w:p>
      <w:pPr>
        <w:numPr>
          <w:ilvl w:val="0"/>
          <w:numId w:val="12"/>
        </w:numPr>
        <w:spacing w:after="0" w:before="0" w:line="336" w:lineRule="auto"/>
        <w:jc w:val="start"/>
      </w:pPr>
      <w:hyperlink r:id="rId18">
        <w:r>
          <w:rPr>
            <w:rFonts w:ascii="Canva Sans" w:hAnsi="Canva Sans" w:cs="Canva Sans" w:eastAsia="Canva Sans"/>
            <w:color w:val="000000"/>
            <w:sz w:val="24"/>
            <w:szCs w:val="24"/>
            <w:u w:val="single" w:color="000000"/>
          </w:rPr>
          <w:t>2</w:t>
        </w:r>
      </w:hyperlink>
      <w:hyperlink r:id="rId19">
        <w:r>
          <w:rPr>
            <w:rFonts w:ascii="Canva Sans" w:hAnsi="Canva Sans" w:cs="Canva Sans" w:eastAsia="Canva Sans"/>
            <w:color w:val="000000"/>
            <w:sz w:val="24"/>
            <w:szCs w:val="24"/>
            <w:u w:val="single" w:color="000000"/>
          </w:rPr>
          <w:t xml:space="preserve">
</w:t>
        </w:r>
      </w:hyperlink>
    </w:p>
    <w:p>
      <w:pPr>
        <w:numPr>
          <w:ilvl w:val="0"/>
          <w:numId w:val="12"/>
        </w:numPr>
        <w:spacing w:after="0" w:before="0" w:line="336" w:lineRule="auto"/>
        <w:jc w:val="start"/>
      </w:pPr>
      <w:r>
        <w:rPr>
          <w:rFonts w:ascii="Canva Sans" w:hAnsi="Canva Sans" w:cs="Canva Sans" w:eastAsia="Canva Sans"/>
          <w:color w:val="000000"/>
          <w:sz w:val="24"/>
          <w:szCs w:val="24"/>
        </w:rPr>
        <w:t xml:space="preserve">.
</w:t>
      </w:r>
    </w:p>
    <w:p>
      <w:pPr>
        <w:numPr>
          <w:ilvl w:val="0"/>
          <w:numId w:val="12"/>
        </w:numPr>
        <w:spacing w:after="0" w:before="0" w:line="336" w:lineRule="auto"/>
        <w:jc w:val="start"/>
      </w:pPr>
      <w:r>
        <w:rPr>
          <w:rFonts w:ascii="Canva Sans Medium" w:hAnsi="Canva Sans Medium" w:cs="Canva Sans Medium" w:eastAsia="Canva Sans Medium"/>
          <w:b/>
          <w:bCs/>
          <w:color w:val="000000"/>
          <w:sz w:val="24"/>
          <w:szCs w:val="24"/>
        </w:rPr>
        <w:t>Securities-Based Lending (SBL)</w:t>
      </w:r>
      <w:r>
        <w:rPr>
          <w:rFonts w:ascii="Canva Sans" w:hAnsi="Canva Sans" w:cs="Canva Sans" w:eastAsia="Canva Sans"/>
          <w:color w:val="000000"/>
          <w:sz w:val="24"/>
          <w:szCs w:val="24"/>
        </w:rPr>
        <w:t>: As an LLC, you may have more opportunities to leverage your investment portfolio for borrowing. SBL typically offers lower interest rates compared to unsecured loans or loans against less liquid collateral</w:t>
      </w:r>
      <w:hyperlink r:id="rId20">
        <w:r>
          <w:rPr>
            <w:rFonts w:ascii="Canva Sans" w:hAnsi="Canva Sans" w:cs="Canva Sans" w:eastAsia="Canva Sans"/>
            <w:color w:val="000000"/>
            <w:sz w:val="24"/>
            <w:szCs w:val="24"/>
            <w:u w:val="single" w:color="000000"/>
          </w:rPr>
          <w:t xml:space="preserve">
</w:t>
        </w:r>
      </w:hyperlink>
    </w:p>
    <w:p>
      <w:pPr>
        <w:numPr>
          <w:ilvl w:val="0"/>
          <w:numId w:val="12"/>
        </w:numPr>
        <w:spacing w:after="0" w:before="0" w:line="336" w:lineRule="auto"/>
        <w:jc w:val="start"/>
      </w:pPr>
      <w:hyperlink r:id="rId21">
        <w:r>
          <w:rPr>
            <w:rFonts w:ascii="Canva Sans" w:hAnsi="Canva Sans" w:cs="Canva Sans" w:eastAsia="Canva Sans"/>
            <w:color w:val="000000"/>
            <w:sz w:val="24"/>
            <w:szCs w:val="24"/>
            <w:u w:val="single" w:color="000000"/>
          </w:rPr>
          <w:t>4</w:t>
        </w:r>
      </w:hyperlink>
      <w:hyperlink r:id="rId22">
        <w:r>
          <w:rPr>
            <w:rFonts w:ascii="Canva Sans" w:hAnsi="Canva Sans" w:cs="Canva Sans" w:eastAsia="Canva Sans"/>
            <w:color w:val="000000"/>
            <w:sz w:val="24"/>
            <w:szCs w:val="24"/>
            <w:u w:val="single" w:color="000000"/>
          </w:rPr>
          <w:t xml:space="preserve">
</w:t>
        </w:r>
      </w:hyperlink>
    </w:p>
    <w:p>
      <w:pPr>
        <w:numPr>
          <w:ilvl w:val="0"/>
          <w:numId w:val="12"/>
        </w:numPr>
        <w:spacing w:after="0" w:before="0" w:line="336" w:lineRule="auto"/>
        <w:jc w:val="start"/>
      </w:pPr>
      <w:r>
        <w:rPr>
          <w:rFonts w:ascii="Canva Sans" w:hAnsi="Canva Sans" w:cs="Canva Sans" w:eastAsia="Canva Sans"/>
          <w:color w:val="000000"/>
          <w:sz w:val="24"/>
          <w:szCs w:val="24"/>
        </w:rPr>
        <w:t xml:space="preserve">.
</w:t>
      </w:r>
    </w:p>
    <w:p>
      <w:pPr>
        <w:numPr>
          <w:ilvl w:val="0"/>
          <w:numId w:val="12"/>
        </w:numPr>
        <w:spacing w:after="0" w:before="0" w:line="336" w:lineRule="auto"/>
        <w:jc w:val="start"/>
      </w:pPr>
      <w:r>
        <w:rPr>
          <w:rFonts w:ascii="Canva Sans Medium" w:hAnsi="Canva Sans Medium" w:cs="Canva Sans Medium" w:eastAsia="Canva Sans Medium"/>
          <w:b/>
          <w:bCs/>
          <w:color w:val="000000"/>
          <w:sz w:val="24"/>
          <w:szCs w:val="24"/>
        </w:rPr>
        <w:t>Flexible Borrowing Options</w:t>
      </w:r>
      <w:r>
        <w:rPr>
          <w:rFonts w:ascii="Canva Sans" w:hAnsi="Canva Sans" w:cs="Canva Sans" w:eastAsia="Canva Sans"/>
          <w:color w:val="000000"/>
          <w:sz w:val="24"/>
          <w:szCs w:val="24"/>
        </w:rPr>
        <w:t xml:space="preserve">: LLCs can often access a wider range of financing options, including business lines of credit and commercial real estate loans.
</w:t>
      </w:r>
    </w:p>
    <w:p>
      <w:pPr>
        <w:numPr>
          <w:ilvl w:val="0"/>
          <w:numId w:val="12"/>
        </w:numPr>
        <w:spacing w:after="0" w:before="0" w:line="336" w:lineRule="auto"/>
        <w:jc w:val="start"/>
      </w:pPr>
      <w:r>
        <w:rPr>
          <w:rFonts w:ascii="Canva Sans Medium" w:hAnsi="Canva Sans Medium" w:cs="Canva Sans Medium" w:eastAsia="Canva Sans Medium"/>
          <w:b/>
          <w:bCs/>
          <w:color w:val="000000"/>
          <w:sz w:val="24"/>
          <w:szCs w:val="24"/>
        </w:rPr>
        <w:t>Potential for Better Terms</w:t>
      </w:r>
      <w:r>
        <w:rPr>
          <w:rFonts w:ascii="Canva Sans" w:hAnsi="Canva Sans" w:cs="Canva Sans" w:eastAsia="Canva Sans"/>
          <w:color w:val="000000"/>
          <w:sz w:val="24"/>
          <w:szCs w:val="24"/>
        </w:rPr>
        <w:t xml:space="preserve">: Lenders may offer more favorable terms to LLCs due to the perceived stability and professionalism of the business structure.
</w:t>
      </w:r>
    </w:p>
    <w:p>
      <w:pPr>
        <w:spacing w:after="120" w:before="120" w:line="336" w:lineRule="auto"/>
        <w:ind w:firstLine="0" w:start="0"/>
        <w:jc w:val="start"/>
      </w:pPr>
      <w:r>
        <w:rPr>
          <w:rFonts w:ascii="Canva Sans" w:hAnsi="Canva Sans" w:cs="Canva Sans" w:eastAsia="Canva Sans"/>
          <w:color w:val="000000"/>
          <w:sz w:val="24"/>
          <w:szCs w:val="24"/>
        </w:rPr>
        <w:t>While an LLC does require some initial setup and ongoing maintenance, the benefits in terms of liability protection and borrowing flexibility often outweigh these considerations for real estate investors. However, it's important to consult with legal and financial professionals to determine the best structure for your specific situation and investment goals.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4.2 Membership Criteria
</w:t>
      </w:r>
    </w:p>
    <w:p>
      <w:pPr>
        <w:numPr>
          <w:ilvl w:val="0"/>
          <w:numId w:val="13"/>
        </w:numPr>
        <w:spacing w:after="0" w:before="0" w:line="336" w:lineRule="auto"/>
        <w:jc w:val="start"/>
      </w:pPr>
      <w:r>
        <w:rPr>
          <w:rFonts w:ascii="Canva Sans" w:hAnsi="Canva Sans" w:cs="Canva Sans" w:eastAsia="Canva Sans"/>
          <w:color w:val="000000"/>
          <w:sz w:val="24"/>
          <w:szCs w:val="24"/>
        </w:rPr>
        <w:t xml:space="preserve">Minimum investment requirements
</w:t>
      </w:r>
    </w:p>
    <w:p>
      <w:pPr>
        <w:numPr>
          <w:ilvl w:val="0"/>
          <w:numId w:val="13"/>
        </w:numPr>
        <w:spacing w:after="0" w:before="0" w:line="336" w:lineRule="auto"/>
        <w:jc w:val="start"/>
      </w:pPr>
      <w:r>
        <w:rPr>
          <w:rFonts w:ascii="Canva Sans" w:hAnsi="Canva Sans" w:cs="Canva Sans" w:eastAsia="Canva Sans"/>
          <w:color w:val="000000"/>
          <w:sz w:val="24"/>
          <w:szCs w:val="24"/>
        </w:rPr>
        <w:t xml:space="preserve">Expertise and skill contributions
</w:t>
      </w:r>
    </w:p>
    <w:p>
      <w:pPr>
        <w:numPr>
          <w:ilvl w:val="0"/>
          <w:numId w:val="13"/>
        </w:numPr>
        <w:spacing w:after="0" w:before="0" w:line="336" w:lineRule="auto"/>
        <w:jc w:val="start"/>
      </w:pPr>
      <w:r>
        <w:rPr>
          <w:rFonts w:ascii="Canva Sans" w:hAnsi="Canva Sans" w:cs="Canva Sans" w:eastAsia="Canva Sans"/>
          <w:color w:val="000000"/>
          <w:sz w:val="24"/>
          <w:szCs w:val="24"/>
        </w:rPr>
        <w:t xml:space="preserve">Time commitments
</w:t>
      </w:r>
    </w:p>
    <w:p>
      <w:pPr>
        <w:spacing w:after="120" w:before="120" w:line="336" w:lineRule="auto"/>
        <w:ind w:firstLine="0" w:start="0"/>
        <w:jc w:val="start"/>
      </w:pPr>
      <w:r>
        <w:rPr>
          <w:rFonts w:ascii="Canva Sans" w:hAnsi="Canva Sans" w:cs="Canva Sans" w:eastAsia="Canva Sans"/>
          <w:color w:val="000000"/>
          <w:sz w:val="24"/>
          <w:szCs w:val="24"/>
        </w:rPr>
        <w:t>here are some key membership roles to consider:</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Key Membership Roles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Project Manager</w:t>
      </w:r>
      <w:r>
        <w:rPr>
          <w:rFonts w:ascii="Canva Sans" w:hAnsi="Canva Sans" w:cs="Canva Sans" w:eastAsia="Canva Sans"/>
          <w:color w:val="000000"/>
          <w:sz w:val="24"/>
          <w:szCs w:val="24"/>
        </w:rPr>
        <w:t xml:space="preserve">
</w:t>
      </w:r>
    </w:p>
    <w:p>
      <w:pPr>
        <w:numPr>
          <w:ilvl w:val="0"/>
          <w:numId w:val="14"/>
        </w:numPr>
        <w:spacing w:after="0" w:before="0" w:line="336" w:lineRule="auto"/>
        <w:jc w:val="start"/>
      </w:pPr>
      <w:r>
        <w:rPr>
          <w:rFonts w:ascii="Canva Sans" w:hAnsi="Canva Sans" w:cs="Canva Sans" w:eastAsia="Canva Sans"/>
          <w:color w:val="000000"/>
          <w:sz w:val="24"/>
          <w:szCs w:val="24"/>
        </w:rPr>
        <w:t xml:space="preserve">Oversees day-to-day operations of the investment group
</w:t>
      </w:r>
    </w:p>
    <w:p>
      <w:pPr>
        <w:numPr>
          <w:ilvl w:val="0"/>
          <w:numId w:val="14"/>
        </w:numPr>
        <w:spacing w:after="0" w:before="0" w:line="336" w:lineRule="auto"/>
        <w:jc w:val="start"/>
      </w:pPr>
      <w:r>
        <w:rPr>
          <w:rFonts w:ascii="Canva Sans" w:hAnsi="Canva Sans" w:cs="Canva Sans" w:eastAsia="Canva Sans"/>
          <w:color w:val="000000"/>
          <w:sz w:val="24"/>
          <w:szCs w:val="24"/>
        </w:rPr>
        <w:t xml:space="preserve">Coordinates between different team members and contractors
</w:t>
      </w:r>
    </w:p>
    <w:p>
      <w:pPr>
        <w:numPr>
          <w:ilvl w:val="0"/>
          <w:numId w:val="14"/>
        </w:numPr>
        <w:spacing w:after="0" w:before="0" w:line="336" w:lineRule="auto"/>
        <w:jc w:val="start"/>
      </w:pPr>
      <w:r>
        <w:rPr>
          <w:rFonts w:ascii="Canva Sans" w:hAnsi="Canva Sans" w:cs="Canva Sans" w:eastAsia="Canva Sans"/>
          <w:color w:val="000000"/>
          <w:sz w:val="24"/>
          <w:szCs w:val="24"/>
        </w:rPr>
        <w:t xml:space="preserve">Ensures projects stay on schedule and within budget
</w:t>
      </w:r>
    </w:p>
    <w:p>
      <w:pPr>
        <w:numPr>
          <w:ilvl w:val="0"/>
          <w:numId w:val="14"/>
        </w:numPr>
        <w:spacing w:after="0" w:before="0" w:line="336" w:lineRule="auto"/>
        <w:jc w:val="start"/>
      </w:pPr>
      <w:r>
        <w:rPr>
          <w:rFonts w:ascii="Canva Sans" w:hAnsi="Canva Sans" w:cs="Canva Sans" w:eastAsia="Canva Sans"/>
          <w:color w:val="000000"/>
          <w:sz w:val="24"/>
          <w:szCs w:val="24"/>
        </w:rPr>
        <w:t xml:space="preserve">Manages communication with investors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Administrative Support</w:t>
      </w:r>
      <w:r>
        <w:rPr>
          <w:rFonts w:ascii="Canva Sans" w:hAnsi="Canva Sans" w:cs="Canva Sans" w:eastAsia="Canva Sans"/>
          <w:color w:val="000000"/>
          <w:sz w:val="24"/>
          <w:szCs w:val="24"/>
        </w:rPr>
        <w:t xml:space="preserve">
</w:t>
      </w:r>
    </w:p>
    <w:p>
      <w:pPr>
        <w:numPr>
          <w:ilvl w:val="0"/>
          <w:numId w:val="15"/>
        </w:numPr>
        <w:spacing w:after="0" w:before="0" w:line="336" w:lineRule="auto"/>
        <w:jc w:val="start"/>
      </w:pPr>
      <w:r>
        <w:rPr>
          <w:rFonts w:ascii="Canva Sans" w:hAnsi="Canva Sans" w:cs="Canva Sans" w:eastAsia="Canva Sans"/>
          <w:color w:val="000000"/>
          <w:sz w:val="24"/>
          <w:szCs w:val="24"/>
        </w:rPr>
        <w:t xml:space="preserve">Handles paperwork and documentation
</w:t>
      </w:r>
    </w:p>
    <w:p>
      <w:pPr>
        <w:numPr>
          <w:ilvl w:val="0"/>
          <w:numId w:val="15"/>
        </w:numPr>
        <w:spacing w:after="0" w:before="0" w:line="336" w:lineRule="auto"/>
        <w:jc w:val="start"/>
      </w:pPr>
      <w:r>
        <w:rPr>
          <w:rFonts w:ascii="Canva Sans" w:hAnsi="Canva Sans" w:cs="Canva Sans" w:eastAsia="Canva Sans"/>
          <w:color w:val="000000"/>
          <w:sz w:val="24"/>
          <w:szCs w:val="24"/>
        </w:rPr>
        <w:t xml:space="preserve">Manages schedules and coordinates meetings
</w:t>
      </w:r>
    </w:p>
    <w:p>
      <w:pPr>
        <w:numPr>
          <w:ilvl w:val="0"/>
          <w:numId w:val="15"/>
        </w:numPr>
        <w:spacing w:after="0" w:before="0" w:line="336" w:lineRule="auto"/>
        <w:jc w:val="start"/>
      </w:pPr>
      <w:r>
        <w:rPr>
          <w:rFonts w:ascii="Canva Sans" w:hAnsi="Canva Sans" w:cs="Canva Sans" w:eastAsia="Canva Sans"/>
          <w:color w:val="000000"/>
          <w:sz w:val="24"/>
          <w:szCs w:val="24"/>
        </w:rPr>
        <w:t xml:space="preserve">Assists with investor relations and communication
</w:t>
      </w:r>
    </w:p>
    <w:p>
      <w:pPr>
        <w:numPr>
          <w:ilvl w:val="0"/>
          <w:numId w:val="15"/>
        </w:numPr>
        <w:spacing w:after="0" w:before="0" w:line="336" w:lineRule="auto"/>
        <w:jc w:val="start"/>
      </w:pPr>
      <w:r>
        <w:rPr>
          <w:rFonts w:ascii="Canva Sans" w:hAnsi="Canva Sans" w:cs="Canva Sans" w:eastAsia="Canva Sans"/>
          <w:color w:val="000000"/>
          <w:sz w:val="24"/>
          <w:szCs w:val="24"/>
        </w:rPr>
        <w:t xml:space="preserve">Maintains organized records of properties and transactions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Real Estate Attorney</w:t>
      </w:r>
      <w:r>
        <w:rPr>
          <w:rFonts w:ascii="Canva Sans" w:hAnsi="Canva Sans" w:cs="Canva Sans" w:eastAsia="Canva Sans"/>
          <w:color w:val="000000"/>
          <w:sz w:val="24"/>
          <w:szCs w:val="24"/>
        </w:rPr>
        <w:t xml:space="preserve">
</w:t>
      </w:r>
    </w:p>
    <w:p>
      <w:pPr>
        <w:numPr>
          <w:ilvl w:val="0"/>
          <w:numId w:val="16"/>
        </w:numPr>
        <w:spacing w:after="0" w:before="0" w:line="336" w:lineRule="auto"/>
        <w:jc w:val="start"/>
      </w:pPr>
      <w:r>
        <w:rPr>
          <w:rFonts w:ascii="Canva Sans" w:hAnsi="Canva Sans" w:cs="Canva Sans" w:eastAsia="Canva Sans"/>
          <w:color w:val="000000"/>
          <w:sz w:val="24"/>
          <w:szCs w:val="24"/>
        </w:rPr>
        <w:t xml:space="preserve">Provides legal guidance on property acquisitions and sales
</w:t>
      </w:r>
    </w:p>
    <w:p>
      <w:pPr>
        <w:numPr>
          <w:ilvl w:val="0"/>
          <w:numId w:val="16"/>
        </w:numPr>
        <w:spacing w:after="0" w:before="0" w:line="336" w:lineRule="auto"/>
        <w:jc w:val="start"/>
      </w:pPr>
      <w:r>
        <w:rPr>
          <w:rFonts w:ascii="Canva Sans" w:hAnsi="Canva Sans" w:cs="Canva Sans" w:eastAsia="Canva Sans"/>
          <w:color w:val="000000"/>
          <w:sz w:val="24"/>
          <w:szCs w:val="24"/>
        </w:rPr>
        <w:t xml:space="preserve">Reviews and drafts contracts
</w:t>
      </w:r>
    </w:p>
    <w:p>
      <w:pPr>
        <w:numPr>
          <w:ilvl w:val="0"/>
          <w:numId w:val="16"/>
        </w:numPr>
        <w:spacing w:after="0" w:before="0" w:line="336" w:lineRule="auto"/>
        <w:jc w:val="start"/>
      </w:pPr>
      <w:r>
        <w:rPr>
          <w:rFonts w:ascii="Canva Sans" w:hAnsi="Canva Sans" w:cs="Canva Sans" w:eastAsia="Canva Sans"/>
          <w:color w:val="000000"/>
          <w:sz w:val="24"/>
          <w:szCs w:val="24"/>
        </w:rPr>
        <w:t xml:space="preserve">Ensures compliance with local real estate laws and regulations
</w:t>
      </w:r>
    </w:p>
    <w:p>
      <w:pPr>
        <w:numPr>
          <w:ilvl w:val="0"/>
          <w:numId w:val="16"/>
        </w:numPr>
        <w:spacing w:after="0" w:before="0" w:line="336" w:lineRule="auto"/>
        <w:jc w:val="start"/>
      </w:pPr>
      <w:r>
        <w:rPr>
          <w:rFonts w:ascii="Canva Sans" w:hAnsi="Canva Sans" w:cs="Canva Sans" w:eastAsia="Canva Sans"/>
          <w:color w:val="000000"/>
          <w:sz w:val="24"/>
          <w:szCs w:val="24"/>
        </w:rPr>
        <w:t xml:space="preserve">Assists with entity formation and structuring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Marketing Strategist</w:t>
      </w:r>
      <w:r>
        <w:rPr>
          <w:rFonts w:ascii="Canva Sans" w:hAnsi="Canva Sans" w:cs="Canva Sans" w:eastAsia="Canva Sans"/>
          <w:color w:val="000000"/>
          <w:sz w:val="24"/>
          <w:szCs w:val="24"/>
        </w:rPr>
        <w:t xml:space="preserve">
</w:t>
      </w:r>
    </w:p>
    <w:p>
      <w:pPr>
        <w:numPr>
          <w:ilvl w:val="0"/>
          <w:numId w:val="17"/>
        </w:numPr>
        <w:spacing w:after="0" w:before="0" w:line="336" w:lineRule="auto"/>
        <w:jc w:val="start"/>
      </w:pPr>
      <w:r>
        <w:rPr>
          <w:rFonts w:ascii="Canva Sans" w:hAnsi="Canva Sans" w:cs="Canva Sans" w:eastAsia="Canva Sans"/>
          <w:color w:val="000000"/>
          <w:sz w:val="24"/>
          <w:szCs w:val="24"/>
        </w:rPr>
        <w:t xml:space="preserve">Develops branding and marketing strategies for the investment group
</w:t>
      </w:r>
    </w:p>
    <w:p>
      <w:pPr>
        <w:numPr>
          <w:ilvl w:val="0"/>
          <w:numId w:val="17"/>
        </w:numPr>
        <w:spacing w:after="0" w:before="0" w:line="336" w:lineRule="auto"/>
        <w:jc w:val="start"/>
      </w:pPr>
      <w:r>
        <w:rPr>
          <w:rFonts w:ascii="Canva Sans" w:hAnsi="Canva Sans" w:cs="Canva Sans" w:eastAsia="Canva Sans"/>
          <w:color w:val="000000"/>
          <w:sz w:val="24"/>
          <w:szCs w:val="24"/>
        </w:rPr>
        <w:t xml:space="preserve">Creates content for investor communications and property listings
</w:t>
      </w:r>
    </w:p>
    <w:p>
      <w:pPr>
        <w:numPr>
          <w:ilvl w:val="0"/>
          <w:numId w:val="17"/>
        </w:numPr>
        <w:spacing w:after="0" w:before="0" w:line="336" w:lineRule="auto"/>
        <w:jc w:val="start"/>
      </w:pPr>
      <w:r>
        <w:rPr>
          <w:rFonts w:ascii="Canva Sans" w:hAnsi="Canva Sans" w:cs="Canva Sans" w:eastAsia="Canva Sans"/>
          <w:color w:val="000000"/>
          <w:sz w:val="24"/>
          <w:szCs w:val="24"/>
        </w:rPr>
        <w:t xml:space="preserve">Manages online presence and social media accounts
</w:t>
      </w:r>
    </w:p>
    <w:p>
      <w:pPr>
        <w:numPr>
          <w:ilvl w:val="0"/>
          <w:numId w:val="17"/>
        </w:numPr>
        <w:spacing w:after="0" w:before="0" w:line="336" w:lineRule="auto"/>
        <w:jc w:val="start"/>
      </w:pPr>
      <w:r>
        <w:rPr>
          <w:rFonts w:ascii="Canva Sans" w:hAnsi="Canva Sans" w:cs="Canva Sans" w:eastAsia="Canva Sans"/>
          <w:color w:val="000000"/>
          <w:sz w:val="24"/>
          <w:szCs w:val="24"/>
        </w:rPr>
        <w:t xml:space="preserve">Analyzes market trends and competitor activities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Financial Analyst</w:t>
      </w:r>
      <w:r>
        <w:rPr>
          <w:rFonts w:ascii="Canva Sans" w:hAnsi="Canva Sans" w:cs="Canva Sans" w:eastAsia="Canva Sans"/>
          <w:color w:val="000000"/>
          <w:sz w:val="24"/>
          <w:szCs w:val="24"/>
        </w:rPr>
        <w:t xml:space="preserve">
</w:t>
      </w:r>
    </w:p>
    <w:p>
      <w:pPr>
        <w:numPr>
          <w:ilvl w:val="0"/>
          <w:numId w:val="18"/>
        </w:numPr>
        <w:spacing w:after="0" w:before="0" w:line="336" w:lineRule="auto"/>
        <w:jc w:val="start"/>
      </w:pPr>
      <w:r>
        <w:rPr>
          <w:rFonts w:ascii="Canva Sans" w:hAnsi="Canva Sans" w:cs="Canva Sans" w:eastAsia="Canva Sans"/>
          <w:color w:val="000000"/>
          <w:sz w:val="24"/>
          <w:szCs w:val="24"/>
        </w:rPr>
        <w:t xml:space="preserve">Conducts financial modeling and projections for potential investments
</w:t>
      </w:r>
    </w:p>
    <w:p>
      <w:pPr>
        <w:numPr>
          <w:ilvl w:val="0"/>
          <w:numId w:val="18"/>
        </w:numPr>
        <w:spacing w:after="0" w:before="0" w:line="336" w:lineRule="auto"/>
        <w:jc w:val="start"/>
      </w:pPr>
      <w:r>
        <w:rPr>
          <w:rFonts w:ascii="Canva Sans" w:hAnsi="Canva Sans" w:cs="Canva Sans" w:eastAsia="Canva Sans"/>
          <w:color w:val="000000"/>
          <w:sz w:val="24"/>
          <w:szCs w:val="24"/>
        </w:rPr>
        <w:t xml:space="preserve">Analyzes market data and property valuations
</w:t>
      </w:r>
    </w:p>
    <w:p>
      <w:pPr>
        <w:numPr>
          <w:ilvl w:val="0"/>
          <w:numId w:val="18"/>
        </w:numPr>
        <w:spacing w:after="0" w:before="0" w:line="336" w:lineRule="auto"/>
        <w:jc w:val="start"/>
      </w:pPr>
      <w:r>
        <w:rPr>
          <w:rFonts w:ascii="Canva Sans" w:hAnsi="Canva Sans" w:cs="Canva Sans" w:eastAsia="Canva Sans"/>
          <w:color w:val="000000"/>
          <w:sz w:val="24"/>
          <w:szCs w:val="24"/>
        </w:rPr>
        <w:t xml:space="preserve">Assists in creating investment proposals and reports
</w:t>
      </w:r>
    </w:p>
    <w:p>
      <w:pPr>
        <w:numPr>
          <w:ilvl w:val="0"/>
          <w:numId w:val="18"/>
        </w:numPr>
        <w:spacing w:after="0" w:before="0" w:line="336" w:lineRule="auto"/>
        <w:jc w:val="start"/>
      </w:pPr>
      <w:r>
        <w:rPr>
          <w:rFonts w:ascii="Canva Sans" w:hAnsi="Canva Sans" w:cs="Canva Sans" w:eastAsia="Canva Sans"/>
          <w:color w:val="000000"/>
          <w:sz w:val="24"/>
          <w:szCs w:val="24"/>
        </w:rPr>
        <w:t xml:space="preserve">Monitors financial performance of the portfolio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Property Manager</w:t>
      </w:r>
      <w:r>
        <w:rPr>
          <w:rFonts w:ascii="Canva Sans" w:hAnsi="Canva Sans" w:cs="Canva Sans" w:eastAsia="Canva Sans"/>
          <w:color w:val="000000"/>
          <w:sz w:val="24"/>
          <w:szCs w:val="24"/>
        </w:rPr>
        <w:t xml:space="preserve">
</w:t>
      </w:r>
    </w:p>
    <w:p>
      <w:pPr>
        <w:numPr>
          <w:ilvl w:val="0"/>
          <w:numId w:val="19"/>
        </w:numPr>
        <w:spacing w:after="0" w:before="0" w:line="336" w:lineRule="auto"/>
        <w:jc w:val="start"/>
      </w:pPr>
      <w:r>
        <w:rPr>
          <w:rFonts w:ascii="Canva Sans" w:hAnsi="Canva Sans" w:cs="Canva Sans" w:eastAsia="Canva Sans"/>
          <w:color w:val="000000"/>
          <w:sz w:val="24"/>
          <w:szCs w:val="24"/>
        </w:rPr>
        <w:t xml:space="preserve">Oversees day-to-day operations of acquired properties
</w:t>
      </w:r>
    </w:p>
    <w:p>
      <w:pPr>
        <w:numPr>
          <w:ilvl w:val="0"/>
          <w:numId w:val="19"/>
        </w:numPr>
        <w:spacing w:after="0" w:before="0" w:line="336" w:lineRule="auto"/>
        <w:jc w:val="start"/>
      </w:pPr>
      <w:r>
        <w:rPr>
          <w:rFonts w:ascii="Canva Sans" w:hAnsi="Canva Sans" w:cs="Canva Sans" w:eastAsia="Canva Sans"/>
          <w:color w:val="000000"/>
          <w:sz w:val="24"/>
          <w:szCs w:val="24"/>
        </w:rPr>
        <w:t xml:space="preserve">Handles tenant relations and lease agreements
</w:t>
      </w:r>
    </w:p>
    <w:p>
      <w:pPr>
        <w:numPr>
          <w:ilvl w:val="0"/>
          <w:numId w:val="19"/>
        </w:numPr>
        <w:spacing w:after="0" w:before="0" w:line="336" w:lineRule="auto"/>
        <w:jc w:val="start"/>
      </w:pPr>
      <w:r>
        <w:rPr>
          <w:rFonts w:ascii="Canva Sans" w:hAnsi="Canva Sans" w:cs="Canva Sans" w:eastAsia="Canva Sans"/>
          <w:color w:val="000000"/>
          <w:sz w:val="24"/>
          <w:szCs w:val="24"/>
        </w:rPr>
        <w:t xml:space="preserve">Coordinates maintenance and repairs
</w:t>
      </w:r>
    </w:p>
    <w:p>
      <w:pPr>
        <w:numPr>
          <w:ilvl w:val="0"/>
          <w:numId w:val="19"/>
        </w:numPr>
        <w:spacing w:after="0" w:before="0" w:line="336" w:lineRule="auto"/>
        <w:jc w:val="start"/>
      </w:pPr>
      <w:r>
        <w:rPr>
          <w:rFonts w:ascii="Canva Sans" w:hAnsi="Canva Sans" w:cs="Canva Sans" w:eastAsia="Canva Sans"/>
          <w:color w:val="000000"/>
          <w:sz w:val="24"/>
          <w:szCs w:val="24"/>
        </w:rPr>
        <w:t xml:space="preserve">Ensures properties remain in compliance with local regulations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Acquisitions Specialist</w:t>
      </w:r>
      <w:r>
        <w:rPr>
          <w:rFonts w:ascii="Canva Sans" w:hAnsi="Canva Sans" w:cs="Canva Sans" w:eastAsia="Canva Sans"/>
          <w:color w:val="000000"/>
          <w:sz w:val="24"/>
          <w:szCs w:val="24"/>
        </w:rPr>
        <w:t xml:space="preserve">
</w:t>
      </w:r>
    </w:p>
    <w:p>
      <w:pPr>
        <w:numPr>
          <w:ilvl w:val="0"/>
          <w:numId w:val="20"/>
        </w:numPr>
        <w:spacing w:after="0" w:before="0" w:line="336" w:lineRule="auto"/>
        <w:jc w:val="start"/>
      </w:pPr>
      <w:r>
        <w:rPr>
          <w:rFonts w:ascii="Canva Sans" w:hAnsi="Canva Sans" w:cs="Canva Sans" w:eastAsia="Canva Sans"/>
          <w:color w:val="000000"/>
          <w:sz w:val="24"/>
          <w:szCs w:val="24"/>
        </w:rPr>
        <w:t xml:space="preserve">Identifies potential investment opportunities
</w:t>
      </w:r>
    </w:p>
    <w:p>
      <w:pPr>
        <w:numPr>
          <w:ilvl w:val="0"/>
          <w:numId w:val="20"/>
        </w:numPr>
        <w:spacing w:after="0" w:before="0" w:line="336" w:lineRule="auto"/>
        <w:jc w:val="start"/>
      </w:pPr>
      <w:r>
        <w:rPr>
          <w:rFonts w:ascii="Canva Sans" w:hAnsi="Canva Sans" w:cs="Canva Sans" w:eastAsia="Canva Sans"/>
          <w:color w:val="000000"/>
          <w:sz w:val="24"/>
          <w:szCs w:val="24"/>
        </w:rPr>
        <w:t xml:space="preserve">Conducts initial property assessments and due diligence
</w:t>
      </w:r>
    </w:p>
    <w:p>
      <w:pPr>
        <w:numPr>
          <w:ilvl w:val="0"/>
          <w:numId w:val="20"/>
        </w:numPr>
        <w:spacing w:after="0" w:before="0" w:line="336" w:lineRule="auto"/>
        <w:jc w:val="start"/>
      </w:pPr>
      <w:r>
        <w:rPr>
          <w:rFonts w:ascii="Canva Sans" w:hAnsi="Canva Sans" w:cs="Canva Sans" w:eastAsia="Canva Sans"/>
          <w:color w:val="000000"/>
          <w:sz w:val="24"/>
          <w:szCs w:val="24"/>
        </w:rPr>
        <w:t xml:space="preserve">Negotiates purchase agreements
</w:t>
      </w:r>
    </w:p>
    <w:p>
      <w:pPr>
        <w:numPr>
          <w:ilvl w:val="0"/>
          <w:numId w:val="20"/>
        </w:numPr>
        <w:spacing w:after="0" w:before="0" w:line="336" w:lineRule="auto"/>
        <w:jc w:val="start"/>
      </w:pPr>
      <w:r>
        <w:rPr>
          <w:rFonts w:ascii="Canva Sans" w:hAnsi="Canva Sans" w:cs="Canva Sans" w:eastAsia="Canva Sans"/>
          <w:color w:val="000000"/>
          <w:sz w:val="24"/>
          <w:szCs w:val="24"/>
        </w:rPr>
        <w:t xml:space="preserve">Works closely with the project manager and attorney during acquisitions
</w:t>
      </w:r>
    </w:p>
    <w:p>
      <w:pPr>
        <w:spacing w:after="120" w:before="120" w:line="336" w:lineRule="auto"/>
        <w:ind w:firstLine="0" w:start="0"/>
        <w:jc w:val="start"/>
      </w:pPr>
      <w:r>
        <w:rPr>
          <w:rFonts w:ascii="Canva Sans Medium" w:hAnsi="Canva Sans Medium" w:cs="Canva Sans Medium" w:eastAsia="Canva Sans Medium"/>
          <w:b/>
          <w:bCs/>
          <w:color w:val="000000"/>
          <w:sz w:val="24"/>
          <w:szCs w:val="24"/>
        </w:rPr>
        <w:t>Construction Manager</w:t>
      </w:r>
      <w:r>
        <w:rPr>
          <w:rFonts w:ascii="Canva Sans" w:hAnsi="Canva Sans" w:cs="Canva Sans" w:eastAsia="Canva Sans"/>
          <w:color w:val="000000"/>
          <w:sz w:val="24"/>
          <w:szCs w:val="24"/>
        </w:rPr>
        <w:t xml:space="preserve">
</w:t>
      </w:r>
    </w:p>
    <w:p>
      <w:pPr>
        <w:numPr>
          <w:ilvl w:val="0"/>
          <w:numId w:val="21"/>
        </w:numPr>
        <w:spacing w:after="0" w:before="0" w:line="336" w:lineRule="auto"/>
        <w:jc w:val="start"/>
      </w:pPr>
      <w:r>
        <w:rPr>
          <w:rFonts w:ascii="Canva Sans" w:hAnsi="Canva Sans" w:cs="Canva Sans" w:eastAsia="Canva Sans"/>
          <w:color w:val="000000"/>
          <w:sz w:val="24"/>
          <w:szCs w:val="24"/>
        </w:rPr>
        <w:t xml:space="preserve">Oversees renovation and construction projects
</w:t>
      </w:r>
    </w:p>
    <w:p>
      <w:pPr>
        <w:numPr>
          <w:ilvl w:val="0"/>
          <w:numId w:val="21"/>
        </w:numPr>
        <w:spacing w:after="0" w:before="0" w:line="336" w:lineRule="auto"/>
        <w:jc w:val="start"/>
      </w:pPr>
      <w:r>
        <w:rPr>
          <w:rFonts w:ascii="Canva Sans" w:hAnsi="Canva Sans" w:cs="Canva Sans" w:eastAsia="Canva Sans"/>
          <w:color w:val="000000"/>
          <w:sz w:val="24"/>
          <w:szCs w:val="24"/>
        </w:rPr>
        <w:t xml:space="preserve">Coordinates with contractors and subcontractors
</w:t>
      </w:r>
    </w:p>
    <w:p>
      <w:pPr>
        <w:numPr>
          <w:ilvl w:val="0"/>
          <w:numId w:val="21"/>
        </w:numPr>
        <w:spacing w:after="0" w:before="0" w:line="336" w:lineRule="auto"/>
        <w:jc w:val="start"/>
      </w:pPr>
      <w:r>
        <w:rPr>
          <w:rFonts w:ascii="Canva Sans" w:hAnsi="Canva Sans" w:cs="Canva Sans" w:eastAsia="Canva Sans"/>
          <w:color w:val="000000"/>
          <w:sz w:val="24"/>
          <w:szCs w:val="24"/>
        </w:rPr>
        <w:t xml:space="preserve">Ensures quality control and adherence to building codes
</w:t>
      </w:r>
    </w:p>
    <w:p>
      <w:pPr>
        <w:numPr>
          <w:ilvl w:val="0"/>
          <w:numId w:val="21"/>
        </w:numPr>
        <w:spacing w:after="0" w:before="0" w:line="336" w:lineRule="auto"/>
        <w:jc w:val="start"/>
      </w:pPr>
      <w:r>
        <w:rPr>
          <w:rFonts w:ascii="Canva Sans" w:hAnsi="Canva Sans" w:cs="Canva Sans" w:eastAsia="Canva Sans"/>
          <w:color w:val="000000"/>
          <w:sz w:val="24"/>
          <w:szCs w:val="24"/>
        </w:rPr>
        <w:t xml:space="preserve">Works closely with you to leverage your carpentry expertise
</w:t>
      </w:r>
    </w:p>
    <w:p>
      <w:pPr>
        <w:spacing w:after="120" w:before="120" w:line="336" w:lineRule="auto"/>
        <w:ind w:firstLine="0" w:start="0"/>
        <w:jc w:val="start"/>
      </w:pPr>
      <w:r>
        <w:rPr>
          <w:rFonts w:ascii="Canva Sans" w:hAnsi="Canva Sans" w:cs="Canva Sans" w:eastAsia="Canva Sans"/>
          <w:color w:val="000000"/>
          <w:sz w:val="24"/>
          <w:szCs w:val="24"/>
        </w:rPr>
        <w:t xml:space="preserve">These roles form a strong foundation for your investor group, combining essential skills in project management, legal expertise, marketing, finance, and property operations. The project manager and administrative support roles are particularly crucial for maintaining organization and efficiency within the group.Vital contractors like attorneys and marketing strategists bring specialized expertise that can significantly enhance the group's operations and success. Their external perspective can provide valuable insights and help navigate complex legal and market landscapes.Remember, depending on the size of your group and the scope of your investments, some of these roles might be combined or expanded. The key is to ensure that all critical functions are covered to support successful real estate investments in Chicago's South Side and suburbs.
</w:t>
      </w:r>
    </w:p>
    <w:p>
      <w:pPr>
        <w:spacing w:after="120" w:before="120"/>
      </w:pPr>
      <w:r>
        <w:br w:type="page"/>
      </w:r>
    </w:p>
    <w:p>
      <w:pPr>
        <w:spacing w:after="120" w:before="120" w:line="336" w:lineRule="auto"/>
        <w:ind w:firstLine="0" w:start="0"/>
        <w:jc w:val="start"/>
      </w:pPr>
      <w:r>
        <w:rPr>
          <w:rFonts w:ascii="Canva Sans" w:hAnsi="Canva Sans" w:cs="Canva Sans" w:eastAsia="Canva Sans"/>
          <w:color w:val="000000"/>
          <w:sz w:val="24"/>
          <w:szCs w:val="24"/>
        </w:rPr>
        <w:t>H</w:t>
      </w:r>
      <w:r>
        <w:rPr>
          <w:rFonts w:ascii="Canva Sans" w:hAnsi="Canva Sans" w:cs="Canva Sans" w:eastAsia="Canva Sans"/>
          <w:color w:val="000000"/>
          <w:sz w:val="24"/>
          <w:szCs w:val="24"/>
        </w:rPr>
        <w:t>ere are some suggestions for structuring membership requirements: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Membership Structure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Minimum Investment Requirements
</w:t>
      </w:r>
    </w:p>
    <w:p>
      <w:pPr>
        <w:numPr>
          <w:ilvl w:val="0"/>
          <w:numId w:val="22"/>
        </w:numPr>
        <w:spacing w:after="0" w:before="0" w:line="336" w:lineRule="auto"/>
        <w:jc w:val="start"/>
      </w:pPr>
      <w:r>
        <w:rPr>
          <w:rFonts w:ascii="Canva Sans Medium" w:hAnsi="Canva Sans Medium" w:cs="Canva Sans Medium" w:eastAsia="Canva Sans Medium"/>
          <w:b/>
          <w:bCs/>
          <w:color w:val="000000"/>
          <w:sz w:val="24"/>
          <w:szCs w:val="24"/>
        </w:rPr>
        <w:t>Tiered Investment Levels</w:t>
      </w:r>
      <w:r>
        <w:rPr>
          <w:rFonts w:ascii="Canva Sans" w:hAnsi="Canva Sans" w:cs="Canva Sans" w:eastAsia="Canva Sans"/>
          <w:color w:val="000000"/>
          <w:sz w:val="24"/>
          <w:szCs w:val="24"/>
        </w:rPr>
        <w:t xml:space="preserve">: Create multiple entry points to accommodate different investor capacities:
</w:t>
      </w:r>
    </w:p>
    <w:p>
      <w:pPr>
        <w:numPr>
          <w:ilvl w:val="1"/>
          <w:numId w:val="22"/>
        </w:numPr>
        <w:spacing w:after="0" w:before="0" w:line="336" w:lineRule="auto"/>
        <w:jc w:val="start"/>
      </w:pPr>
      <w:r>
        <w:rPr>
          <w:rFonts w:ascii="Canva Sans" w:hAnsi="Canva Sans" w:cs="Canva Sans" w:eastAsia="Canva Sans"/>
          <w:color w:val="000000"/>
          <w:sz w:val="24"/>
          <w:szCs w:val="24"/>
        </w:rPr>
        <w:t xml:space="preserve">Bronze Level: $5,000 - $24,999
</w:t>
      </w:r>
    </w:p>
    <w:p>
      <w:pPr>
        <w:numPr>
          <w:ilvl w:val="1"/>
          <w:numId w:val="22"/>
        </w:numPr>
        <w:spacing w:after="0" w:before="0" w:line="336" w:lineRule="auto"/>
        <w:jc w:val="start"/>
      </w:pPr>
      <w:r>
        <w:rPr>
          <w:rFonts w:ascii="Canva Sans" w:hAnsi="Canva Sans" w:cs="Canva Sans" w:eastAsia="Canva Sans"/>
          <w:color w:val="000000"/>
          <w:sz w:val="24"/>
          <w:szCs w:val="24"/>
        </w:rPr>
        <w:t xml:space="preserve">Silver Level: $25,000 - $49,999
</w:t>
      </w:r>
    </w:p>
    <w:p>
      <w:pPr>
        <w:numPr>
          <w:ilvl w:val="1"/>
          <w:numId w:val="22"/>
        </w:numPr>
        <w:spacing w:after="0" w:before="0" w:line="336" w:lineRule="auto"/>
        <w:jc w:val="start"/>
      </w:pPr>
      <w:r>
        <w:rPr>
          <w:rFonts w:ascii="Canva Sans" w:hAnsi="Canva Sans" w:cs="Canva Sans" w:eastAsia="Canva Sans"/>
          <w:color w:val="000000"/>
          <w:sz w:val="24"/>
          <w:szCs w:val="24"/>
        </w:rPr>
        <w:t xml:space="preserve">Gold Level: $50,000 and above
</w:t>
      </w:r>
    </w:p>
    <w:p>
      <w:pPr>
        <w:numPr>
          <w:ilvl w:val="0"/>
          <w:numId w:val="22"/>
        </w:numPr>
        <w:spacing w:after="0" w:before="0" w:line="336" w:lineRule="auto"/>
        <w:jc w:val="start"/>
      </w:pPr>
      <w:r>
        <w:rPr>
          <w:rFonts w:ascii="Canva Sans Medium" w:hAnsi="Canva Sans Medium" w:cs="Canva Sans Medium" w:eastAsia="Canva Sans Medium"/>
          <w:b/>
          <w:bCs/>
          <w:color w:val="000000"/>
          <w:sz w:val="24"/>
          <w:szCs w:val="24"/>
        </w:rPr>
        <w:t>Flexible Investment Options</w:t>
      </w:r>
      <w:r>
        <w:rPr>
          <w:rFonts w:ascii="Canva Sans" w:hAnsi="Canva Sans" w:cs="Canva Sans" w:eastAsia="Canva Sans"/>
          <w:color w:val="000000"/>
          <w:sz w:val="24"/>
          <w:szCs w:val="24"/>
        </w:rPr>
        <w:t xml:space="preserve">:
</w:t>
      </w:r>
    </w:p>
    <w:p>
      <w:pPr>
        <w:numPr>
          <w:ilvl w:val="1"/>
          <w:numId w:val="22"/>
        </w:numPr>
        <w:spacing w:after="0" w:before="0" w:line="336" w:lineRule="auto"/>
        <w:jc w:val="start"/>
      </w:pPr>
      <w:r>
        <w:rPr>
          <w:rFonts w:ascii="Canva Sans" w:hAnsi="Canva Sans" w:cs="Canva Sans" w:eastAsia="Canva Sans"/>
          <w:color w:val="000000"/>
          <w:sz w:val="24"/>
          <w:szCs w:val="24"/>
        </w:rPr>
        <w:t xml:space="preserve">Allow members to invest in specific projects rather than requiring a general fund contribution
</w:t>
      </w:r>
    </w:p>
    <w:p>
      <w:pPr>
        <w:numPr>
          <w:ilvl w:val="1"/>
          <w:numId w:val="22"/>
        </w:numPr>
        <w:spacing w:after="0" w:before="0" w:line="336" w:lineRule="auto"/>
        <w:jc w:val="start"/>
      </w:pPr>
      <w:r>
        <w:rPr>
          <w:rFonts w:ascii="Canva Sans" w:hAnsi="Canva Sans" w:cs="Canva Sans" w:eastAsia="Canva Sans"/>
          <w:color w:val="000000"/>
          <w:sz w:val="24"/>
          <w:szCs w:val="24"/>
        </w:rPr>
        <w:t xml:space="preserve">Offer the option to increase investment over time to reach higher tiers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Expertise and Skill Contributions
</w:t>
      </w:r>
    </w:p>
    <w:p>
      <w:pPr>
        <w:numPr>
          <w:ilvl w:val="0"/>
          <w:numId w:val="23"/>
        </w:numPr>
        <w:spacing w:after="0" w:before="0" w:line="336" w:lineRule="auto"/>
        <w:jc w:val="start"/>
      </w:pPr>
      <w:r>
        <w:rPr>
          <w:rFonts w:ascii="Canva Sans Medium" w:hAnsi="Canva Sans Medium" w:cs="Canva Sans Medium" w:eastAsia="Canva Sans Medium"/>
          <w:b/>
          <w:bCs/>
          <w:color w:val="000000"/>
          <w:sz w:val="24"/>
          <w:szCs w:val="24"/>
        </w:rPr>
        <w:t>Skill-Based Membership</w:t>
      </w:r>
      <w:r>
        <w:rPr>
          <w:rFonts w:ascii="Canva Sans" w:hAnsi="Canva Sans" w:cs="Canva Sans" w:eastAsia="Canva Sans"/>
          <w:color w:val="000000"/>
          <w:sz w:val="24"/>
          <w:szCs w:val="24"/>
        </w:rPr>
        <w:t xml:space="preserve">: Offer reduced financial requirements for members who can contribute valuable skills:
</w:t>
      </w:r>
    </w:p>
    <w:p>
      <w:pPr>
        <w:numPr>
          <w:ilvl w:val="1"/>
          <w:numId w:val="23"/>
        </w:numPr>
        <w:spacing w:after="0" w:before="0" w:line="336" w:lineRule="auto"/>
        <w:jc w:val="start"/>
      </w:pPr>
      <w:r>
        <w:rPr>
          <w:rFonts w:ascii="Canva Sans" w:hAnsi="Canva Sans" w:cs="Canva Sans" w:eastAsia="Canva Sans"/>
          <w:color w:val="000000"/>
          <w:sz w:val="24"/>
          <w:szCs w:val="24"/>
        </w:rPr>
        <w:t xml:space="preserve">Legal expertise: Discounted investment minimum for attorneys
</w:t>
      </w:r>
    </w:p>
    <w:p>
      <w:pPr>
        <w:numPr>
          <w:ilvl w:val="1"/>
          <w:numId w:val="23"/>
        </w:numPr>
        <w:spacing w:after="0" w:before="0" w:line="336" w:lineRule="auto"/>
        <w:jc w:val="start"/>
      </w:pPr>
      <w:r>
        <w:rPr>
          <w:rFonts w:ascii="Canva Sans" w:hAnsi="Canva Sans" w:cs="Canva Sans" w:eastAsia="Canva Sans"/>
          <w:color w:val="000000"/>
          <w:sz w:val="24"/>
          <w:szCs w:val="24"/>
        </w:rPr>
        <w:t xml:space="preserve">Marketing skills: Reduced buy-in for marketing professionals
</w:t>
      </w:r>
    </w:p>
    <w:p>
      <w:pPr>
        <w:numPr>
          <w:ilvl w:val="1"/>
          <w:numId w:val="23"/>
        </w:numPr>
        <w:spacing w:after="0" w:before="0" w:line="336" w:lineRule="auto"/>
        <w:jc w:val="start"/>
      </w:pPr>
      <w:r>
        <w:rPr>
          <w:rFonts w:ascii="Canva Sans" w:hAnsi="Canva Sans" w:cs="Canva Sans" w:eastAsia="Canva Sans"/>
          <w:color w:val="000000"/>
          <w:sz w:val="24"/>
          <w:szCs w:val="24"/>
        </w:rPr>
        <w:t xml:space="preserve">Property management experience: Lower threshold for experienced managers
</w:t>
      </w:r>
    </w:p>
    <w:p>
      <w:pPr>
        <w:numPr>
          <w:ilvl w:val="0"/>
          <w:numId w:val="23"/>
        </w:numPr>
        <w:spacing w:after="0" w:before="0" w:line="336" w:lineRule="auto"/>
        <w:jc w:val="start"/>
      </w:pPr>
      <w:r>
        <w:rPr>
          <w:rFonts w:ascii="Canva Sans Medium" w:hAnsi="Canva Sans Medium" w:cs="Canva Sans Medium" w:eastAsia="Canva Sans Medium"/>
          <w:b/>
          <w:bCs/>
          <w:color w:val="000000"/>
          <w:sz w:val="24"/>
          <w:szCs w:val="24"/>
        </w:rPr>
        <w:t>Knowledge Sharing Requirement</w:t>
      </w:r>
      <w:r>
        <w:rPr>
          <w:rFonts w:ascii="Canva Sans" w:hAnsi="Canva Sans" w:cs="Canva Sans" w:eastAsia="Canva Sans"/>
          <w:color w:val="000000"/>
          <w:sz w:val="24"/>
          <w:szCs w:val="24"/>
        </w:rPr>
        <w:t xml:space="preserve">:
</w:t>
      </w:r>
    </w:p>
    <w:p>
      <w:pPr>
        <w:numPr>
          <w:ilvl w:val="1"/>
          <w:numId w:val="23"/>
        </w:numPr>
        <w:spacing w:after="0" w:before="0" w:line="336" w:lineRule="auto"/>
        <w:jc w:val="start"/>
      </w:pPr>
      <w:r>
        <w:rPr>
          <w:rFonts w:ascii="Canva Sans" w:hAnsi="Canva Sans" w:cs="Canva Sans" w:eastAsia="Canva Sans"/>
          <w:color w:val="000000"/>
          <w:sz w:val="24"/>
          <w:szCs w:val="24"/>
        </w:rPr>
        <w:t xml:space="preserve">Mandate that members with specific expertise conduct quarterly workshops or training sessions for the group
</w:t>
      </w:r>
    </w:p>
    <w:p>
      <w:pPr>
        <w:numPr>
          <w:ilvl w:val="1"/>
          <w:numId w:val="23"/>
        </w:numPr>
        <w:spacing w:after="0" w:before="0" w:line="336" w:lineRule="auto"/>
        <w:jc w:val="start"/>
      </w:pPr>
      <w:r>
        <w:rPr>
          <w:rFonts w:ascii="Canva Sans" w:hAnsi="Canva Sans" w:cs="Canva Sans" w:eastAsia="Canva Sans"/>
          <w:color w:val="000000"/>
          <w:sz w:val="24"/>
          <w:szCs w:val="24"/>
        </w:rPr>
        <w:t xml:space="preserve">Implement a mentorship program where experienced members guide newer investors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Time Commitments
</w:t>
      </w:r>
    </w:p>
    <w:p>
      <w:pPr>
        <w:numPr>
          <w:ilvl w:val="0"/>
          <w:numId w:val="24"/>
        </w:numPr>
        <w:spacing w:after="0" w:before="0" w:line="336" w:lineRule="auto"/>
        <w:jc w:val="start"/>
      </w:pPr>
      <w:r>
        <w:rPr>
          <w:rFonts w:ascii="Canva Sans Medium" w:hAnsi="Canva Sans Medium" w:cs="Canva Sans Medium" w:eastAsia="Canva Sans Medium"/>
          <w:b/>
          <w:bCs/>
          <w:color w:val="000000"/>
          <w:sz w:val="24"/>
          <w:szCs w:val="24"/>
        </w:rPr>
        <w:t>Active vs. Passive Membership</w:t>
      </w:r>
      <w:r>
        <w:rPr>
          <w:rFonts w:ascii="Canva Sans" w:hAnsi="Canva Sans" w:cs="Canva Sans" w:eastAsia="Canva Sans"/>
          <w:color w:val="000000"/>
          <w:sz w:val="24"/>
          <w:szCs w:val="24"/>
        </w:rPr>
        <w:t xml:space="preserve">:
</w:t>
      </w:r>
    </w:p>
    <w:p>
      <w:pPr>
        <w:numPr>
          <w:ilvl w:val="1"/>
          <w:numId w:val="24"/>
        </w:numPr>
        <w:spacing w:after="0" w:before="0" w:line="336" w:lineRule="auto"/>
        <w:jc w:val="start"/>
      </w:pPr>
      <w:r>
        <w:rPr>
          <w:rFonts w:ascii="Canva Sans" w:hAnsi="Canva Sans" w:cs="Canva Sans" w:eastAsia="Canva Sans"/>
          <w:color w:val="000000"/>
          <w:sz w:val="24"/>
          <w:szCs w:val="24"/>
        </w:rPr>
        <w:t xml:space="preserve">Active Members: Higher involvement, lower investment minimum
</w:t>
      </w:r>
    </w:p>
    <w:p>
      <w:pPr>
        <w:numPr>
          <w:ilvl w:val="1"/>
          <w:numId w:val="24"/>
        </w:numPr>
        <w:spacing w:after="0" w:before="0" w:line="336" w:lineRule="auto"/>
        <w:jc w:val="start"/>
      </w:pPr>
      <w:r>
        <w:rPr>
          <w:rFonts w:ascii="Canva Sans" w:hAnsi="Canva Sans" w:cs="Canva Sans" w:eastAsia="Canva Sans"/>
          <w:color w:val="000000"/>
          <w:sz w:val="24"/>
          <w:szCs w:val="24"/>
        </w:rPr>
        <w:t xml:space="preserve">Passive Members: Limited involvement, higher investment minimum
</w:t>
      </w:r>
    </w:p>
    <w:p>
      <w:pPr>
        <w:numPr>
          <w:ilvl w:val="0"/>
          <w:numId w:val="24"/>
        </w:numPr>
        <w:spacing w:after="0" w:before="0" w:line="336" w:lineRule="auto"/>
        <w:jc w:val="start"/>
      </w:pPr>
      <w:r>
        <w:rPr>
          <w:rFonts w:ascii="Canva Sans Medium" w:hAnsi="Canva Sans Medium" w:cs="Canva Sans Medium" w:eastAsia="Canva Sans Medium"/>
          <w:b/>
          <w:bCs/>
          <w:color w:val="000000"/>
          <w:sz w:val="24"/>
          <w:szCs w:val="24"/>
        </w:rPr>
        <w:t>Time-Based Contributions</w:t>
      </w:r>
      <w:r>
        <w:rPr>
          <w:rFonts w:ascii="Canva Sans" w:hAnsi="Canva Sans" w:cs="Canva Sans" w:eastAsia="Canva Sans"/>
          <w:color w:val="000000"/>
          <w:sz w:val="24"/>
          <w:szCs w:val="24"/>
        </w:rPr>
        <w:t xml:space="preserve">:
</w:t>
      </w:r>
    </w:p>
    <w:p>
      <w:pPr>
        <w:numPr>
          <w:ilvl w:val="1"/>
          <w:numId w:val="24"/>
        </w:numPr>
        <w:spacing w:after="0" w:before="0" w:line="336" w:lineRule="auto"/>
        <w:jc w:val="start"/>
      </w:pPr>
      <w:r>
        <w:rPr>
          <w:rFonts w:ascii="Canva Sans" w:hAnsi="Canva Sans" w:cs="Canva Sans" w:eastAsia="Canva Sans"/>
          <w:color w:val="000000"/>
          <w:sz w:val="24"/>
          <w:szCs w:val="24"/>
        </w:rPr>
        <w:t xml:space="preserve">Require a minimum number of hours per month for property scouting or management
</w:t>
      </w:r>
    </w:p>
    <w:p>
      <w:pPr>
        <w:numPr>
          <w:ilvl w:val="1"/>
          <w:numId w:val="24"/>
        </w:numPr>
        <w:spacing w:after="0" w:before="0" w:line="336" w:lineRule="auto"/>
        <w:jc w:val="start"/>
      </w:pPr>
      <w:r>
        <w:rPr>
          <w:rFonts w:ascii="Canva Sans" w:hAnsi="Canva Sans" w:cs="Canva Sans" w:eastAsia="Canva Sans"/>
          <w:color w:val="000000"/>
          <w:sz w:val="24"/>
          <w:szCs w:val="24"/>
        </w:rPr>
        <w:t xml:space="preserve">Offer investment credits for time spent on group activities or property maintenance
</w:t>
      </w:r>
    </w:p>
    <w:p>
      <w:pPr>
        <w:numPr>
          <w:ilvl w:val="0"/>
          <w:numId w:val="24"/>
        </w:numPr>
        <w:spacing w:after="0" w:before="0" w:line="336" w:lineRule="auto"/>
        <w:jc w:val="start"/>
      </w:pPr>
      <w:r>
        <w:rPr>
          <w:rFonts w:ascii="Canva Sans Medium" w:hAnsi="Canva Sans Medium" w:cs="Canva Sans Medium" w:eastAsia="Canva Sans Medium"/>
          <w:b/>
          <w:bCs/>
          <w:color w:val="000000"/>
          <w:sz w:val="24"/>
          <w:szCs w:val="24"/>
        </w:rPr>
        <w:t>Meeting Attendance</w:t>
      </w:r>
      <w:r>
        <w:rPr>
          <w:rFonts w:ascii="Canva Sans" w:hAnsi="Canva Sans" w:cs="Canva Sans" w:eastAsia="Canva Sans"/>
          <w:color w:val="000000"/>
          <w:sz w:val="24"/>
          <w:szCs w:val="24"/>
        </w:rPr>
        <w:t xml:space="preserve">:
</w:t>
      </w:r>
    </w:p>
    <w:p>
      <w:pPr>
        <w:numPr>
          <w:ilvl w:val="1"/>
          <w:numId w:val="24"/>
        </w:numPr>
        <w:spacing w:after="0" w:before="0" w:line="336" w:lineRule="auto"/>
        <w:jc w:val="start"/>
      </w:pPr>
      <w:r>
        <w:rPr>
          <w:rFonts w:ascii="Canva Sans" w:hAnsi="Canva Sans" w:cs="Canva Sans" w:eastAsia="Canva Sans"/>
          <w:color w:val="000000"/>
          <w:sz w:val="24"/>
          <w:szCs w:val="24"/>
        </w:rPr>
        <w:t xml:space="preserve">Mandate attendance at quarterly strategy meetings for all members
</w:t>
      </w:r>
    </w:p>
    <w:p>
      <w:pPr>
        <w:numPr>
          <w:ilvl w:val="1"/>
          <w:numId w:val="24"/>
        </w:numPr>
        <w:spacing w:after="0" w:before="0" w:line="336" w:lineRule="auto"/>
        <w:jc w:val="start"/>
      </w:pPr>
      <w:r>
        <w:rPr>
          <w:rFonts w:ascii="Canva Sans" w:hAnsi="Canva Sans" w:cs="Canva Sans" w:eastAsia="Canva Sans"/>
          <w:color w:val="000000"/>
          <w:sz w:val="24"/>
          <w:szCs w:val="24"/>
        </w:rPr>
        <w:t xml:space="preserve">Require active members to participate in monthly property review sessions
</w:t>
      </w:r>
    </w:p>
    <w:p>
      <w:pPr>
        <w:spacing w:after="120" w:before="120" w:line="336" w:lineRule="auto"/>
        <w:ind w:firstLine="0" w:start="0"/>
        <w:jc w:val="start"/>
      </w:pPr>
      <w:r>
        <w:rPr>
          <w:rFonts w:ascii="Canva Sans" w:hAnsi="Canva Sans" w:cs="Canva Sans" w:eastAsia="Canva Sans"/>
          <w:color w:val="000000"/>
          <w:sz w:val="24"/>
          <w:szCs w:val="24"/>
        </w:rPr>
        <w:t xml:space="preserve">By implementing these structures, you can create a diverse and engaged membership base that leverages both financial resources and practical skills. This approach allows for broader participation while ensuring that all members contribute meaningfully to the group's success, whether through capital, expertise, or time commitment.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4.3 Financial Structure
</w:t>
      </w:r>
    </w:p>
    <w:p>
      <w:pPr>
        <w:numPr>
          <w:ilvl w:val="0"/>
          <w:numId w:val="25"/>
        </w:numPr>
        <w:spacing w:after="0" w:before="0" w:line="336" w:lineRule="auto"/>
        <w:jc w:val="start"/>
      </w:pPr>
      <w:r>
        <w:rPr>
          <w:rFonts w:ascii="Canva Sans" w:hAnsi="Canva Sans" w:cs="Canva Sans" w:eastAsia="Canva Sans"/>
          <w:color w:val="000000"/>
          <w:sz w:val="24"/>
          <w:szCs w:val="24"/>
        </w:rPr>
        <w:t xml:space="preserve">Investment tiers
</w:t>
      </w:r>
    </w:p>
    <w:p>
      <w:pPr>
        <w:numPr>
          <w:ilvl w:val="0"/>
          <w:numId w:val="25"/>
        </w:numPr>
        <w:spacing w:after="0" w:before="0" w:line="336" w:lineRule="auto"/>
        <w:jc w:val="start"/>
      </w:pPr>
      <w:r>
        <w:rPr>
          <w:rFonts w:ascii="Canva Sans" w:hAnsi="Canva Sans" w:cs="Canva Sans" w:eastAsia="Canva Sans"/>
          <w:color w:val="000000"/>
          <w:sz w:val="24"/>
          <w:szCs w:val="24"/>
        </w:rPr>
        <w:t xml:space="preserve">Profit-sharing model
</w:t>
      </w:r>
    </w:p>
    <w:p>
      <w:pPr>
        <w:numPr>
          <w:ilvl w:val="0"/>
          <w:numId w:val="25"/>
        </w:numPr>
        <w:spacing w:after="0" w:before="0" w:line="336" w:lineRule="auto"/>
        <w:jc w:val="start"/>
      </w:pPr>
      <w:r>
        <w:rPr>
          <w:rFonts w:ascii="Canva Sans" w:hAnsi="Canva Sans" w:cs="Canva Sans" w:eastAsia="Canva Sans"/>
          <w:color w:val="000000"/>
          <w:sz w:val="24"/>
          <w:szCs w:val="24"/>
        </w:rPr>
        <w:t xml:space="preserve">Capital call procedures
</w:t>
      </w:r>
    </w:p>
    <w:p>
      <w:pPr>
        <w:spacing w:after="120" w:before="120" w:line="336" w:lineRule="auto"/>
        <w:ind w:firstLine="0" w:start="0"/>
        <w:jc w:val="start"/>
      </w:pPr>
      <w:r>
        <w:rPr>
          <w:rFonts w:ascii="Canva Sans" w:hAnsi="Canva Sans" w:cs="Canva Sans" w:eastAsia="Canva Sans"/>
          <w:color w:val="000000"/>
          <w:sz w:val="24"/>
          <w:szCs w:val="24"/>
        </w:rPr>
        <w:t>Here are</w:t>
      </w:r>
      <w:r>
        <w:rPr>
          <w:rFonts w:ascii="Canva Sans" w:hAnsi="Canva Sans" w:cs="Canva Sans" w:eastAsia="Canva Sans"/>
          <w:color w:val="000000"/>
          <w:sz w:val="24"/>
          <w:szCs w:val="24"/>
        </w:rPr>
        <w:t xml:space="preserve"> examples of systems for determining minimum investment amounts, capital calls, and profit-sharing structures for two different project sizes. These examples will focus on property acquisition only.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Project A: $25,000 - $75,000 Property Acquisition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Minimum Investment Amounts
</w:t>
      </w:r>
    </w:p>
    <w:p>
      <w:pPr>
        <w:numPr>
          <w:ilvl w:val="0"/>
          <w:numId w:val="26"/>
        </w:numPr>
        <w:spacing w:after="0" w:before="0" w:line="336" w:lineRule="auto"/>
        <w:jc w:val="start"/>
      </w:pPr>
      <w:r>
        <w:rPr>
          <w:rFonts w:ascii="Canva Sans" w:hAnsi="Canva Sans" w:cs="Canva Sans" w:eastAsia="Canva Sans"/>
          <w:color w:val="000000"/>
          <w:sz w:val="24"/>
          <w:szCs w:val="24"/>
        </w:rPr>
        <w:t xml:space="preserve">Base minimum: $5,000
</w:t>
      </w:r>
    </w:p>
    <w:p>
      <w:pPr>
        <w:numPr>
          <w:ilvl w:val="0"/>
          <w:numId w:val="26"/>
        </w:numPr>
        <w:spacing w:after="0" w:before="0" w:line="336" w:lineRule="auto"/>
        <w:jc w:val="start"/>
      </w:pPr>
      <w:r>
        <w:rPr>
          <w:rFonts w:ascii="Canva Sans" w:hAnsi="Canva Sans" w:cs="Canva Sans" w:eastAsia="Canva Sans"/>
          <w:color w:val="000000"/>
          <w:sz w:val="24"/>
          <w:szCs w:val="24"/>
        </w:rPr>
        <w:t xml:space="preserve">Tiered system based on total project cost:
</w:t>
      </w:r>
    </w:p>
    <w:p>
      <w:pPr>
        <w:numPr>
          <w:ilvl w:val="1"/>
          <w:numId w:val="26"/>
        </w:numPr>
        <w:spacing w:after="0" w:before="0" w:line="336" w:lineRule="auto"/>
        <w:jc w:val="start"/>
      </w:pPr>
      <w:r>
        <w:rPr>
          <w:rFonts w:ascii="Canva Sans" w:hAnsi="Canva Sans" w:cs="Canva Sans" w:eastAsia="Canva Sans"/>
          <w:color w:val="000000"/>
          <w:sz w:val="24"/>
          <w:szCs w:val="24"/>
        </w:rPr>
        <w:t xml:space="preserve">For projects $25,000 - $50,000: Minimum investment of $5,000
</w:t>
      </w:r>
    </w:p>
    <w:p>
      <w:pPr>
        <w:numPr>
          <w:ilvl w:val="1"/>
          <w:numId w:val="26"/>
        </w:numPr>
        <w:spacing w:after="0" w:before="0" w:line="336" w:lineRule="auto"/>
        <w:jc w:val="start"/>
      </w:pPr>
      <w:r>
        <w:rPr>
          <w:rFonts w:ascii="Canva Sans" w:hAnsi="Canva Sans" w:cs="Canva Sans" w:eastAsia="Canva Sans"/>
          <w:color w:val="000000"/>
          <w:sz w:val="24"/>
          <w:szCs w:val="24"/>
        </w:rPr>
        <w:t xml:space="preserve">For projects $50,001 - $75,000: Minimum investment of $7,500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Capital Call System
</w:t>
      </w:r>
    </w:p>
    <w:p>
      <w:pPr>
        <w:numPr>
          <w:ilvl w:val="0"/>
          <w:numId w:val="27"/>
        </w:numPr>
        <w:spacing w:after="0" w:before="0" w:line="336" w:lineRule="auto"/>
        <w:jc w:val="start"/>
      </w:pPr>
      <w:r>
        <w:rPr>
          <w:rFonts w:ascii="Canva Sans" w:hAnsi="Canva Sans" w:cs="Canva Sans" w:eastAsia="Canva Sans"/>
          <w:color w:val="000000"/>
          <w:sz w:val="24"/>
          <w:szCs w:val="24"/>
        </w:rPr>
        <w:t xml:space="preserve">Initial funding: 80% of project cost
</w:t>
      </w:r>
    </w:p>
    <w:p>
      <w:pPr>
        <w:numPr>
          <w:ilvl w:val="0"/>
          <w:numId w:val="27"/>
        </w:numPr>
        <w:spacing w:after="0" w:before="0" w:line="336" w:lineRule="auto"/>
        <w:jc w:val="start"/>
      </w:pPr>
      <w:r>
        <w:rPr>
          <w:rFonts w:ascii="Canva Sans" w:hAnsi="Canva Sans" w:cs="Canva Sans" w:eastAsia="Canva Sans"/>
          <w:color w:val="000000"/>
          <w:sz w:val="24"/>
          <w:szCs w:val="24"/>
        </w:rPr>
        <w:t xml:space="preserve">Reserve fund: 10% of project cost held in escrow
</w:t>
      </w:r>
    </w:p>
    <w:p>
      <w:pPr>
        <w:numPr>
          <w:ilvl w:val="0"/>
          <w:numId w:val="27"/>
        </w:numPr>
        <w:spacing w:after="0" w:before="0" w:line="336" w:lineRule="auto"/>
        <w:jc w:val="start"/>
      </w:pPr>
      <w:r>
        <w:rPr>
          <w:rFonts w:ascii="Canva Sans" w:hAnsi="Canva Sans" w:cs="Canva Sans" w:eastAsia="Canva Sans"/>
          <w:color w:val="000000"/>
          <w:sz w:val="24"/>
          <w:szCs w:val="24"/>
        </w:rPr>
        <w:t xml:space="preserve">Capital call trigger: If expenses exceed initial funding + reserve
</w:t>
      </w:r>
    </w:p>
    <w:p>
      <w:pPr>
        <w:numPr>
          <w:ilvl w:val="0"/>
          <w:numId w:val="27"/>
        </w:numPr>
        <w:spacing w:after="0" w:before="0" w:line="336" w:lineRule="auto"/>
        <w:jc w:val="start"/>
      </w:pPr>
      <w:r>
        <w:rPr>
          <w:rFonts w:ascii="Canva Sans" w:hAnsi="Canva Sans" w:cs="Canva Sans" w:eastAsia="Canva Sans"/>
          <w:color w:val="000000"/>
          <w:sz w:val="24"/>
          <w:szCs w:val="24"/>
        </w:rPr>
        <w:t xml:space="preserve">Call amount: Up to 5% of original investment per call
</w:t>
      </w:r>
    </w:p>
    <w:p>
      <w:pPr>
        <w:numPr>
          <w:ilvl w:val="0"/>
          <w:numId w:val="27"/>
        </w:numPr>
        <w:spacing w:after="0" w:before="0" w:line="336" w:lineRule="auto"/>
        <w:jc w:val="start"/>
      </w:pPr>
      <w:r>
        <w:rPr>
          <w:rFonts w:ascii="Canva Sans" w:hAnsi="Canva Sans" w:cs="Canva Sans" w:eastAsia="Canva Sans"/>
          <w:color w:val="000000"/>
          <w:sz w:val="24"/>
          <w:szCs w:val="24"/>
        </w:rPr>
        <w:t xml:space="preserve">Maximum calls: 2 per year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Profit-Sharing Structure
</w:t>
      </w:r>
    </w:p>
    <w:p>
      <w:pPr>
        <w:numPr>
          <w:ilvl w:val="0"/>
          <w:numId w:val="28"/>
        </w:numPr>
        <w:spacing w:after="0" w:before="0" w:line="336" w:lineRule="auto"/>
        <w:jc w:val="start"/>
      </w:pPr>
      <w:r>
        <w:rPr>
          <w:rFonts w:ascii="Canva Sans" w:hAnsi="Canva Sans" w:cs="Canva Sans" w:eastAsia="Canva Sans"/>
          <w:color w:val="000000"/>
          <w:sz w:val="24"/>
          <w:szCs w:val="24"/>
        </w:rPr>
        <w:t xml:space="preserve">Preferred return: 8% to all investors
</w:t>
      </w:r>
    </w:p>
    <w:p>
      <w:pPr>
        <w:numPr>
          <w:ilvl w:val="0"/>
          <w:numId w:val="28"/>
        </w:numPr>
        <w:spacing w:after="0" w:before="0" w:line="336" w:lineRule="auto"/>
        <w:jc w:val="start"/>
      </w:pPr>
      <w:r>
        <w:rPr>
          <w:rFonts w:ascii="Canva Sans" w:hAnsi="Canva Sans" w:cs="Canva Sans" w:eastAsia="Canva Sans"/>
          <w:color w:val="000000"/>
          <w:sz w:val="24"/>
          <w:szCs w:val="24"/>
        </w:rPr>
        <w:t xml:space="preserve">After preferred return:
</w:t>
      </w:r>
    </w:p>
    <w:p>
      <w:pPr>
        <w:numPr>
          <w:ilvl w:val="1"/>
          <w:numId w:val="28"/>
        </w:numPr>
        <w:spacing w:after="0" w:before="0" w:line="336" w:lineRule="auto"/>
        <w:jc w:val="start"/>
      </w:pPr>
      <w:r>
        <w:rPr>
          <w:rFonts w:ascii="Canva Sans" w:hAnsi="Canva Sans" w:cs="Canva Sans" w:eastAsia="Canva Sans"/>
          <w:color w:val="000000"/>
          <w:sz w:val="24"/>
          <w:szCs w:val="24"/>
        </w:rPr>
        <w:t xml:space="preserve">70% to investors (proportional to investment)
</w:t>
      </w:r>
    </w:p>
    <w:p>
      <w:pPr>
        <w:numPr>
          <w:ilvl w:val="1"/>
          <w:numId w:val="28"/>
        </w:numPr>
        <w:spacing w:after="0" w:before="0" w:line="336" w:lineRule="auto"/>
        <w:jc w:val="start"/>
      </w:pPr>
      <w:r>
        <w:rPr>
          <w:rFonts w:ascii="Canva Sans" w:hAnsi="Canva Sans" w:cs="Canva Sans" w:eastAsia="Canva Sans"/>
          <w:color w:val="000000"/>
          <w:sz w:val="24"/>
          <w:szCs w:val="24"/>
        </w:rPr>
        <w:t xml:space="preserve">30% to managing partners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Project B: $495,000 - $650,000 Property Acquisition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Minimum Investment Amounts
</w:t>
      </w:r>
    </w:p>
    <w:p>
      <w:pPr>
        <w:numPr>
          <w:ilvl w:val="0"/>
          <w:numId w:val="29"/>
        </w:numPr>
        <w:spacing w:after="0" w:before="0" w:line="336" w:lineRule="auto"/>
        <w:jc w:val="start"/>
      </w:pPr>
      <w:r>
        <w:rPr>
          <w:rFonts w:ascii="Canva Sans" w:hAnsi="Canva Sans" w:cs="Canva Sans" w:eastAsia="Canva Sans"/>
          <w:color w:val="000000"/>
          <w:sz w:val="24"/>
          <w:szCs w:val="24"/>
        </w:rPr>
        <w:t xml:space="preserve">Base minimum: $25,000
</w:t>
      </w:r>
    </w:p>
    <w:p>
      <w:pPr>
        <w:numPr>
          <w:ilvl w:val="0"/>
          <w:numId w:val="29"/>
        </w:numPr>
        <w:spacing w:after="0" w:before="0" w:line="336" w:lineRule="auto"/>
        <w:jc w:val="start"/>
      </w:pPr>
      <w:r>
        <w:rPr>
          <w:rFonts w:ascii="Canva Sans" w:hAnsi="Canva Sans" w:cs="Canva Sans" w:eastAsia="Canva Sans"/>
          <w:color w:val="000000"/>
          <w:sz w:val="24"/>
          <w:szCs w:val="24"/>
        </w:rPr>
        <w:t xml:space="preserve">Tiered system based on total project cost:
</w:t>
      </w:r>
    </w:p>
    <w:p>
      <w:pPr>
        <w:numPr>
          <w:ilvl w:val="1"/>
          <w:numId w:val="29"/>
        </w:numPr>
        <w:spacing w:after="0" w:before="0" w:line="336" w:lineRule="auto"/>
        <w:jc w:val="start"/>
      </w:pPr>
      <w:r>
        <w:rPr>
          <w:rFonts w:ascii="Canva Sans" w:hAnsi="Canva Sans" w:cs="Canva Sans" w:eastAsia="Canva Sans"/>
          <w:color w:val="000000"/>
          <w:sz w:val="24"/>
          <w:szCs w:val="24"/>
        </w:rPr>
        <w:t xml:space="preserve">For projects $495,000 - $550,000: Minimum investment of $25,000
</w:t>
      </w:r>
    </w:p>
    <w:p>
      <w:pPr>
        <w:numPr>
          <w:ilvl w:val="1"/>
          <w:numId w:val="29"/>
        </w:numPr>
        <w:spacing w:after="0" w:before="0" w:line="336" w:lineRule="auto"/>
        <w:jc w:val="start"/>
      </w:pPr>
      <w:r>
        <w:rPr>
          <w:rFonts w:ascii="Canva Sans" w:hAnsi="Canva Sans" w:cs="Canva Sans" w:eastAsia="Canva Sans"/>
          <w:color w:val="000000"/>
          <w:sz w:val="24"/>
          <w:szCs w:val="24"/>
        </w:rPr>
        <w:t xml:space="preserve">For projects $550,001 - $600,000: Minimum investment of $35,000
</w:t>
      </w:r>
    </w:p>
    <w:p>
      <w:pPr>
        <w:numPr>
          <w:ilvl w:val="1"/>
          <w:numId w:val="29"/>
        </w:numPr>
        <w:spacing w:after="0" w:before="0" w:line="336" w:lineRule="auto"/>
        <w:jc w:val="start"/>
      </w:pPr>
      <w:r>
        <w:rPr>
          <w:rFonts w:ascii="Canva Sans" w:hAnsi="Canva Sans" w:cs="Canva Sans" w:eastAsia="Canva Sans"/>
          <w:color w:val="000000"/>
          <w:sz w:val="24"/>
          <w:szCs w:val="24"/>
        </w:rPr>
        <w:t xml:space="preserve">For projects $600,001 - $650,000: Minimum investment of $50,000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Capital Call System
</w:t>
      </w:r>
    </w:p>
    <w:p>
      <w:pPr>
        <w:numPr>
          <w:ilvl w:val="0"/>
          <w:numId w:val="30"/>
        </w:numPr>
        <w:spacing w:after="0" w:before="0" w:line="336" w:lineRule="auto"/>
        <w:jc w:val="start"/>
      </w:pPr>
      <w:r>
        <w:rPr>
          <w:rFonts w:ascii="Canva Sans" w:hAnsi="Canva Sans" w:cs="Canva Sans" w:eastAsia="Canva Sans"/>
          <w:color w:val="000000"/>
          <w:sz w:val="24"/>
          <w:szCs w:val="24"/>
        </w:rPr>
        <w:t xml:space="preserve">Initial funding: 90% of project cost
</w:t>
      </w:r>
    </w:p>
    <w:p>
      <w:pPr>
        <w:numPr>
          <w:ilvl w:val="0"/>
          <w:numId w:val="30"/>
        </w:numPr>
        <w:spacing w:after="0" w:before="0" w:line="336" w:lineRule="auto"/>
        <w:jc w:val="start"/>
      </w:pPr>
      <w:r>
        <w:rPr>
          <w:rFonts w:ascii="Canva Sans" w:hAnsi="Canva Sans" w:cs="Canva Sans" w:eastAsia="Canva Sans"/>
          <w:color w:val="000000"/>
          <w:sz w:val="24"/>
          <w:szCs w:val="24"/>
        </w:rPr>
        <w:t xml:space="preserve">Reserve fund: 5% of project cost held in escrow
</w:t>
      </w:r>
    </w:p>
    <w:p>
      <w:pPr>
        <w:numPr>
          <w:ilvl w:val="0"/>
          <w:numId w:val="30"/>
        </w:numPr>
        <w:spacing w:after="0" w:before="0" w:line="336" w:lineRule="auto"/>
        <w:jc w:val="start"/>
      </w:pPr>
      <w:r>
        <w:rPr>
          <w:rFonts w:ascii="Canva Sans" w:hAnsi="Canva Sans" w:cs="Canva Sans" w:eastAsia="Canva Sans"/>
          <w:color w:val="000000"/>
          <w:sz w:val="24"/>
          <w:szCs w:val="24"/>
        </w:rPr>
        <w:t xml:space="preserve">Capital call trigger: If expenses exceed initial funding + reserve
</w:t>
      </w:r>
    </w:p>
    <w:p>
      <w:pPr>
        <w:numPr>
          <w:ilvl w:val="0"/>
          <w:numId w:val="30"/>
        </w:numPr>
        <w:spacing w:after="0" w:before="0" w:line="336" w:lineRule="auto"/>
        <w:jc w:val="start"/>
      </w:pPr>
      <w:r>
        <w:rPr>
          <w:rFonts w:ascii="Canva Sans" w:hAnsi="Canva Sans" w:cs="Canva Sans" w:eastAsia="Canva Sans"/>
          <w:color w:val="000000"/>
          <w:sz w:val="24"/>
          <w:szCs w:val="24"/>
        </w:rPr>
        <w:t xml:space="preserve">Call amount: Up to 10% of original investment per call
</w:t>
      </w:r>
    </w:p>
    <w:p>
      <w:pPr>
        <w:numPr>
          <w:ilvl w:val="0"/>
          <w:numId w:val="30"/>
        </w:numPr>
        <w:spacing w:after="0" w:before="0" w:line="336" w:lineRule="auto"/>
        <w:jc w:val="start"/>
      </w:pPr>
      <w:r>
        <w:rPr>
          <w:rFonts w:ascii="Canva Sans" w:hAnsi="Canva Sans" w:cs="Canva Sans" w:eastAsia="Canva Sans"/>
          <w:color w:val="000000"/>
          <w:sz w:val="24"/>
          <w:szCs w:val="24"/>
        </w:rPr>
        <w:t xml:space="preserve">Maximum calls: 3 per year
</w:t>
      </w:r>
    </w:p>
    <w:p>
      <w:pPr>
        <w:spacing w:after="120" w:before="120" w:line="336" w:lineRule="auto"/>
        <w:ind w:firstLine="0" w:start="0"/>
        <w:jc w:val="start"/>
      </w:pPr>
      <w:r>
        <w:rPr>
          <w:rFonts w:ascii="Canva Sans Medium" w:hAnsi="Canva Sans Medium" w:cs="Canva Sans Medium" w:eastAsia="Canva Sans Medium"/>
          <w:b/>
          <w:bCs/>
          <w:color w:val="000000"/>
          <w:sz w:val="28"/>
          <w:szCs w:val="28"/>
        </w:rPr>
        <w:t xml:space="preserve">Profit-Sharing Structure
</w:t>
      </w:r>
    </w:p>
    <w:p>
      <w:pPr>
        <w:numPr>
          <w:ilvl w:val="0"/>
          <w:numId w:val="31"/>
        </w:numPr>
        <w:spacing w:after="0" w:before="0" w:line="336" w:lineRule="auto"/>
        <w:jc w:val="start"/>
      </w:pPr>
      <w:r>
        <w:rPr>
          <w:rFonts w:ascii="Canva Sans" w:hAnsi="Canva Sans" w:cs="Canva Sans" w:eastAsia="Canva Sans"/>
          <w:color w:val="000000"/>
          <w:sz w:val="24"/>
          <w:szCs w:val="24"/>
        </w:rPr>
        <w:t xml:space="preserve">Preferred return: 7% to all investors
</w:t>
      </w:r>
    </w:p>
    <w:p>
      <w:pPr>
        <w:numPr>
          <w:ilvl w:val="0"/>
          <w:numId w:val="31"/>
        </w:numPr>
        <w:spacing w:after="0" w:before="0" w:line="336" w:lineRule="auto"/>
        <w:jc w:val="start"/>
      </w:pPr>
      <w:r>
        <w:rPr>
          <w:rFonts w:ascii="Canva Sans" w:hAnsi="Canva Sans" w:cs="Canva Sans" w:eastAsia="Canva Sans"/>
          <w:color w:val="000000"/>
          <w:sz w:val="24"/>
          <w:szCs w:val="24"/>
        </w:rPr>
        <w:t xml:space="preserve">After preferred return:
</w:t>
      </w:r>
    </w:p>
    <w:p>
      <w:pPr>
        <w:numPr>
          <w:ilvl w:val="1"/>
          <w:numId w:val="31"/>
        </w:numPr>
        <w:spacing w:after="0" w:before="0" w:line="336" w:lineRule="auto"/>
        <w:jc w:val="start"/>
      </w:pPr>
      <w:r>
        <w:rPr>
          <w:rFonts w:ascii="Canva Sans" w:hAnsi="Canva Sans" w:cs="Canva Sans" w:eastAsia="Canva Sans"/>
          <w:color w:val="000000"/>
          <w:sz w:val="24"/>
          <w:szCs w:val="24"/>
        </w:rPr>
        <w:t xml:space="preserve">0-10% IRR: 80% to investors, 20% to managing partners
</w:t>
      </w:r>
    </w:p>
    <w:p>
      <w:pPr>
        <w:numPr>
          <w:ilvl w:val="1"/>
          <w:numId w:val="31"/>
        </w:numPr>
        <w:spacing w:after="0" w:before="0" w:line="336" w:lineRule="auto"/>
        <w:jc w:val="start"/>
      </w:pPr>
      <w:r>
        <w:rPr>
          <w:rFonts w:ascii="Canva Sans" w:hAnsi="Canva Sans" w:cs="Canva Sans" w:eastAsia="Canva Sans"/>
          <w:color w:val="000000"/>
          <w:sz w:val="24"/>
          <w:szCs w:val="24"/>
        </w:rPr>
        <w:t xml:space="preserve">10-15% IRR: 70% to investors, 30% to managing partners
</w:t>
      </w:r>
    </w:p>
    <w:p>
      <w:pPr>
        <w:numPr>
          <w:ilvl w:val="1"/>
          <w:numId w:val="31"/>
        </w:numPr>
        <w:spacing w:after="0" w:before="0" w:line="336" w:lineRule="auto"/>
        <w:jc w:val="start"/>
      </w:pPr>
      <w:r>
        <w:rPr>
          <w:rFonts w:ascii="Canva Sans" w:hAnsi="Canva Sans" w:cs="Canva Sans" w:eastAsia="Canva Sans"/>
          <w:color w:val="000000"/>
          <w:sz w:val="24"/>
          <w:szCs w:val="24"/>
        </w:rPr>
        <w:t xml:space="preserve">15%+ IRR: 60% to investors, 40% to managing partners
</w:t>
      </w:r>
    </w:p>
    <w:p>
      <w:pPr>
        <w:spacing w:after="120" w:before="120" w:line="336" w:lineRule="auto"/>
        <w:ind w:firstLine="0" w:start="0"/>
        <w:jc w:val="start"/>
      </w:pPr>
      <w:r>
        <w:rPr>
          <w:rFonts w:ascii="Canva Sans" w:hAnsi="Canva Sans" w:cs="Canva Sans" w:eastAsia="Canva Sans"/>
          <w:color w:val="000000"/>
          <w:sz w:val="24"/>
          <w:szCs w:val="24"/>
        </w:rPr>
        <w:t xml:space="preserve">These structures are designed to align with the different scales of the projects while providing appropriate incentives and protections for both investors and managing partners. 
</w:t>
      </w:r>
    </w:p>
    <w:p>
      <w:pPr>
        <w:spacing w:after="120" w:before="120" w:line="336" w:lineRule="auto"/>
        <w:ind w:firstLine="0" w:start="0"/>
        <w:jc w:val="start"/>
      </w:pPr>
      <w:r>
        <w:rPr>
          <w:rFonts w:ascii="Canva Sans" w:hAnsi="Canva Sans" w:cs="Canva Sans" w:eastAsia="Canva Sans"/>
          <w:color w:val="000000"/>
          <w:sz w:val="24"/>
          <w:szCs w:val="24"/>
        </w:rPr>
        <w:t xml:space="preserve">The larger project (B) has higher minimum investments but offers a more sophisticated profit-sharing structure to reward outperformance. 
</w:t>
      </w:r>
    </w:p>
    <w:p>
      <w:pPr>
        <w:spacing w:after="120" w:before="120" w:line="336" w:lineRule="auto"/>
        <w:ind w:firstLine="0" w:start="0"/>
        <w:jc w:val="start"/>
      </w:pPr>
      <w:r>
        <w:rPr>
          <w:rFonts w:ascii="Canva Sans" w:hAnsi="Canva Sans" w:cs="Canva Sans" w:eastAsia="Canva Sans"/>
          <w:color w:val="000000"/>
          <w:sz w:val="24"/>
          <w:szCs w:val="24"/>
        </w:rPr>
        <w:t xml:space="preserve">Both systems include mechanisms for capital calls to address potential shortfalls, with limits to protect investors from excessive additional contributions.
</w:t>
      </w:r>
    </w:p>
    <w:p>
      <w:pPr>
        <w:spacing w:after="120" w:before="120" w:line="336" w:lineRule="auto"/>
        <w:ind w:firstLine="0" w:start="0"/>
        <w:jc w:val="start"/>
      </w:pPr>
      <w:r>
        <w:rPr>
          <w:rFonts w:ascii="Canva Sans" w:hAnsi="Canva Sans" w:cs="Canva Sans" w:eastAsia="Canva Sans"/>
          <w:color w:val="000000"/>
          <w:sz w:val="24"/>
          <w:szCs w:val="24"/>
        </w:rPr>
        <w:t xml:space="preserve">Remember, these are example structures and should be tailored to your specific group's needs, risk tolerance, and local market conditions. It's advisable to consult with legal and financial professionals when implementing such systems.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Here is an</w:t>
      </w:r>
      <w:r>
        <w:rPr>
          <w:rFonts w:ascii="Canva Sans Medium" w:hAnsi="Canva Sans Medium" w:cs="Canva Sans Medium" w:eastAsia="Canva Sans Medium"/>
          <w:b/>
          <w:bCs/>
          <w:color w:val="000000"/>
          <w:sz w:val="36"/>
          <w:szCs w:val="36"/>
        </w:rPr>
        <w:t xml:space="preserve"> explanation of capital calls, their purpose and intent, as well as profit sharing structures including preferred returns:</w:t>
      </w:r>
      <w:r>
        <w:rPr>
          <w:rFonts w:ascii="Canva Sans Medium" w:hAnsi="Canva Sans Medium" w:cs="Canva Sans Medium" w:eastAsia="Canva Sans Medium"/>
          <w:b/>
          <w:bCs/>
          <w:color w:val="000000"/>
          <w:sz w:val="36"/>
          <w:szCs w:val="36"/>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Capital Calls</w:t>
      </w:r>
      <w:r>
        <w:rPr>
          <w:rFonts w:ascii="Canva Sans Medium" w:hAnsi="Canva Sans Medium" w:cs="Canva Sans Medium" w:eastAsia="Canva Sans Medium"/>
          <w:b/>
          <w:bC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A capital call, also known as a drawdown or capital commitment, is a mechanism used by venture capital and private equity funds to collect funds from their investors (limited partners or LPs) as needed. Instead of requiring investors to contribute their entire committed amount upfront, fund managers (general partners or GPs) make capital calls when specific investment opportunities arise or when additional funds are needed for expenses.Purpose and Intent:</w:t>
      </w:r>
      <w:r>
        <w:rPr>
          <w:rFonts w:ascii="Canva Sans" w:hAnsi="Canva Sans" w:cs="Canva Sans" w:eastAsia="Canva Sans"/>
          <w:color w:val="000000"/>
          <w:sz w:val="24"/>
          <w:szCs w:val="24"/>
        </w:rPr>
        <w:t xml:space="preserve">
</w:t>
      </w:r>
    </w:p>
    <w:p>
      <w:pPr>
        <w:numPr>
          <w:ilvl w:val="0"/>
          <w:numId w:val="32"/>
        </w:numPr>
        <w:spacing w:after="0" w:before="0" w:line="336" w:lineRule="auto"/>
        <w:jc w:val="start"/>
      </w:pPr>
      <w:r>
        <w:rPr>
          <w:rFonts w:ascii="Canva Sans" w:hAnsi="Canva Sans" w:cs="Canva Sans" w:eastAsia="Canva Sans"/>
          <w:color w:val="000000"/>
          <w:sz w:val="24"/>
          <w:szCs w:val="24"/>
        </w:rPr>
        <w:t xml:space="preserve">Flexibility: Capital calls allow fund managers to adapt to market changes and investment opportunities.
</w:t>
      </w:r>
    </w:p>
    <w:p>
      <w:pPr>
        <w:numPr>
          <w:ilvl w:val="0"/>
          <w:numId w:val="32"/>
        </w:numPr>
        <w:spacing w:after="0" w:before="0" w:line="336" w:lineRule="auto"/>
        <w:jc w:val="start"/>
      </w:pPr>
      <w:r>
        <w:rPr>
          <w:rFonts w:ascii="Canva Sans" w:hAnsi="Canva Sans" w:cs="Canva Sans" w:eastAsia="Canva Sans"/>
          <w:color w:val="000000"/>
          <w:sz w:val="24"/>
          <w:szCs w:val="24"/>
        </w:rPr>
        <w:t xml:space="preserve">Improved fund performance: By calling capital only when needed, managers can minimize idle capital, potentially improving metrics like Internal Rate of Return (IRR) and Total Value to Paid-in Capital (TVPI).
</w:t>
      </w:r>
    </w:p>
    <w:p>
      <w:pPr>
        <w:numPr>
          <w:ilvl w:val="0"/>
          <w:numId w:val="32"/>
        </w:numPr>
        <w:spacing w:after="0" w:before="0" w:line="336" w:lineRule="auto"/>
        <w:jc w:val="start"/>
      </w:pPr>
      <w:r>
        <w:rPr>
          <w:rFonts w:ascii="Canva Sans" w:hAnsi="Canva Sans" w:cs="Canva Sans" w:eastAsia="Canva Sans"/>
          <w:color w:val="000000"/>
          <w:sz w:val="24"/>
          <w:szCs w:val="24"/>
        </w:rPr>
        <w:t xml:space="preserve">Attractive to investors: LPs can hold onto their capital and potentially earn returns elsewhere until it's called.
</w:t>
      </w:r>
    </w:p>
    <w:p>
      <w:pPr>
        <w:numPr>
          <w:ilvl w:val="0"/>
          <w:numId w:val="32"/>
        </w:numPr>
        <w:spacing w:after="0" w:before="0" w:line="336" w:lineRule="auto"/>
        <w:jc w:val="start"/>
      </w:pPr>
      <w:r>
        <w:rPr>
          <w:rFonts w:ascii="Canva Sans" w:hAnsi="Canva Sans" w:cs="Canva Sans" w:eastAsia="Canva Sans"/>
          <w:color w:val="000000"/>
          <w:sz w:val="24"/>
          <w:szCs w:val="24"/>
        </w:rPr>
        <w:t xml:space="preserve">Short-term financing: Capital calls bridge the gap between when financing is agreed upon and when funds are actually received.
</w:t>
      </w:r>
    </w:p>
    <w:p>
      <w:pPr>
        <w:spacing w:after="120" w:before="120" w:line="336" w:lineRule="auto"/>
        <w:ind w:firstLine="0" w:start="0"/>
        <w:jc w:val="start"/>
      </w:pPr>
      <w:r>
        <w:rPr>
          <w:rFonts w:ascii="Canva Sans Bold" w:hAnsi="Canva Sans Bold" w:cs="Canva Sans Bold" w:eastAsia="Canva Sans Bold"/>
          <w:b/>
          <w:bCs/>
          <w:color w:val="000000"/>
          <w:sz w:val="26"/>
          <w:szCs w:val="26"/>
        </w:rPr>
        <w:t xml:space="preserve">Profit Sharing Structure:
</w:t>
      </w:r>
    </w:p>
    <w:p>
      <w:pPr>
        <w:spacing w:after="120" w:before="120" w:line="336" w:lineRule="auto"/>
        <w:ind w:firstLine="0" w:start="0"/>
        <w:jc w:val="start"/>
      </w:pPr>
      <w:r>
        <w:rPr>
          <w:rFonts w:ascii="Canva Sans" w:hAnsi="Canva Sans" w:cs="Canva Sans" w:eastAsia="Canva Sans"/>
          <w:color w:val="000000"/>
          <w:sz w:val="24"/>
          <w:szCs w:val="24"/>
        </w:rPr>
        <w:t>Profit sharing in venture capital and private equity typically involves two main components: preferred return and carried interest.</w:t>
      </w:r>
      <w:r>
        <w:rPr>
          <w:rFonts w:ascii="Canva Sans" w:hAnsi="Canva Sans" w:cs="Canva Sans" w:eastAsia="Canva Sans"/>
          <w:color w:val="000000"/>
          <w:sz w:val="24"/>
          <w:szCs w:val="24"/>
        </w:rPr>
        <w:t xml:space="preserve">
</w:t>
      </w:r>
    </w:p>
    <w:p>
      <w:pPr>
        <w:numPr>
          <w:ilvl w:val="0"/>
          <w:numId w:val="33"/>
        </w:numPr>
        <w:spacing w:after="0" w:before="0" w:line="336" w:lineRule="auto"/>
        <w:jc w:val="start"/>
      </w:pPr>
      <w:r>
        <w:rPr>
          <w:rFonts w:ascii="Canva Sans" w:hAnsi="Canva Sans" w:cs="Canva Sans" w:eastAsia="Canva Sans"/>
          <w:color w:val="000000"/>
          <w:sz w:val="24"/>
          <w:szCs w:val="24"/>
        </w:rPr>
        <w:t xml:space="preserve">Preferred Return: </w:t>
        <w:br/>
      </w:r>
      <w:r>
        <w:rPr>
          <w:rFonts w:ascii="Canva Sans" w:hAnsi="Canva Sans" w:cs="Canva Sans" w:eastAsia="Canva Sans"/>
          <w:color w:val="000000"/>
          <w:sz w:val="24"/>
          <w:szCs w:val="24"/>
        </w:rPr>
        <w:t xml:space="preserve">The preferred return (often called "hurdle rate") is a minimum return that LPs receive before the GP can participate in profits. It's usually expressed as an annual percentage, often around 7-8%. For example:
</w:t>
      </w:r>
    </w:p>
    <w:p>
      <w:pPr>
        <w:numPr>
          <w:ilvl w:val="0"/>
          <w:numId w:val="34"/>
        </w:numPr>
        <w:spacing w:after="0" w:before="0" w:line="336" w:lineRule="auto"/>
        <w:jc w:val="start"/>
      </w:pPr>
      <w:r>
        <w:rPr>
          <w:rFonts w:ascii="Canva Sans" w:hAnsi="Canva Sans" w:cs="Canva Sans" w:eastAsia="Canva Sans"/>
          <w:color w:val="000000"/>
          <w:sz w:val="24"/>
          <w:szCs w:val="24"/>
        </w:rPr>
        <w:t xml:space="preserve">If the preferred return is 8%, LPs would receive the first 8% of profits generated by the fund.
</w:t>
      </w:r>
    </w:p>
    <w:p>
      <w:pPr>
        <w:numPr>
          <w:ilvl w:val="0"/>
          <w:numId w:val="35"/>
        </w:numPr>
        <w:spacing w:after="0" w:before="0" w:line="336" w:lineRule="auto"/>
        <w:jc w:val="start"/>
      </w:pPr>
      <w:r>
        <w:rPr>
          <w:rFonts w:ascii="Canva Sans" w:hAnsi="Canva Sans" w:cs="Canva Sans" w:eastAsia="Canva Sans"/>
          <w:color w:val="000000"/>
          <w:sz w:val="24"/>
          <w:szCs w:val="24"/>
        </w:rPr>
        <w:t xml:space="preserve">After Preferred Return: </w:t>
        <w:br/>
      </w:r>
      <w:r>
        <w:rPr>
          <w:rFonts w:ascii="Canva Sans" w:hAnsi="Canva Sans" w:cs="Canva Sans" w:eastAsia="Canva Sans"/>
          <w:color w:val="000000"/>
          <w:sz w:val="24"/>
          <w:szCs w:val="24"/>
        </w:rPr>
        <w:t xml:space="preserve">Once the preferred return is met, profit sharing typically follows a structure like this:
</w:t>
      </w:r>
    </w:p>
    <w:p>
      <w:pPr>
        <w:numPr>
          <w:ilvl w:val="0"/>
          <w:numId w:val="36"/>
        </w:numPr>
        <w:spacing w:after="0" w:before="0" w:line="336" w:lineRule="auto"/>
        <w:jc w:val="start"/>
      </w:pPr>
      <w:r>
        <w:rPr>
          <w:rFonts w:ascii="Canva Sans" w:hAnsi="Canva Sans" w:cs="Canva Sans" w:eastAsia="Canva Sans"/>
          <w:color w:val="000000"/>
          <w:sz w:val="24"/>
          <w:szCs w:val="24"/>
        </w:rPr>
        <w:t xml:space="preserve">Catch-up period: The GP receives 100% of profits until they've caught up to a certain percentage of overall profits (often 20%).
</w:t>
      </w:r>
    </w:p>
    <w:p>
      <w:pPr>
        <w:numPr>
          <w:ilvl w:val="0"/>
          <w:numId w:val="36"/>
        </w:numPr>
        <w:spacing w:after="0" w:before="0" w:line="336" w:lineRule="auto"/>
        <w:jc w:val="start"/>
      </w:pPr>
      <w:r>
        <w:rPr>
          <w:rFonts w:ascii="Canva Sans" w:hAnsi="Canva Sans" w:cs="Canva Sans" w:eastAsia="Canva Sans"/>
          <w:color w:val="000000"/>
          <w:sz w:val="24"/>
          <w:szCs w:val="24"/>
        </w:rPr>
        <w:t xml:space="preserve">Carried interest: After the catch-up, profits are split between LPs and GPs, typically 80% to LPs and 20% to GPs.
</w:t>
      </w:r>
    </w:p>
    <w:p>
      <w:pPr>
        <w:spacing w:after="120" w:before="120" w:line="336" w:lineRule="auto"/>
        <w:ind w:firstLine="0" w:start="0"/>
        <w:jc w:val="start"/>
      </w:pPr>
      <w:r>
        <w:rPr>
          <w:rFonts w:ascii="Canva Sans" w:hAnsi="Canva Sans" w:cs="Canva Sans" w:eastAsia="Canva Sans"/>
          <w:color w:val="000000"/>
          <w:sz w:val="24"/>
          <w:szCs w:val="24"/>
        </w:rPr>
        <w:t>Example profit-sharing structure:</w:t>
      </w:r>
      <w:r>
        <w:rPr>
          <w:rFonts w:ascii="Canva Sans" w:hAnsi="Canva Sans" w:cs="Canva Sans" w:eastAsia="Canva Sans"/>
          <w:color w:val="000000"/>
          <w:sz w:val="24"/>
          <w:szCs w:val="24"/>
        </w:rPr>
        <w:t xml:space="preserve">
</w:t>
      </w:r>
    </w:p>
    <w:p>
      <w:pPr>
        <w:numPr>
          <w:ilvl w:val="0"/>
          <w:numId w:val="37"/>
        </w:numPr>
        <w:spacing w:after="0" w:before="0" w:line="336" w:lineRule="auto"/>
        <w:jc w:val="start"/>
      </w:pPr>
      <w:r>
        <w:rPr>
          <w:rFonts w:ascii="Canva Sans" w:hAnsi="Canva Sans" w:cs="Canva Sans" w:eastAsia="Canva Sans"/>
          <w:color w:val="000000"/>
          <w:sz w:val="24"/>
          <w:szCs w:val="24"/>
        </w:rPr>
        <w:t xml:space="preserve">0-8% returns: 100% to LPs (preferred return)
</w:t>
      </w:r>
    </w:p>
    <w:p>
      <w:pPr>
        <w:numPr>
          <w:ilvl w:val="0"/>
          <w:numId w:val="37"/>
        </w:numPr>
        <w:spacing w:after="0" w:before="0" w:line="336" w:lineRule="auto"/>
        <w:jc w:val="start"/>
      </w:pPr>
      <w:r>
        <w:rPr>
          <w:rFonts w:ascii="Canva Sans" w:hAnsi="Canva Sans" w:cs="Canva Sans" w:eastAsia="Canva Sans"/>
          <w:color w:val="000000"/>
          <w:sz w:val="24"/>
          <w:szCs w:val="24"/>
        </w:rPr>
        <w:t xml:space="preserve">8-10% returns: 100% to GP (catch-up)
</w:t>
      </w:r>
    </w:p>
    <w:p>
      <w:pPr>
        <w:numPr>
          <w:ilvl w:val="0"/>
          <w:numId w:val="37"/>
        </w:numPr>
        <w:spacing w:after="0" w:before="0" w:line="336" w:lineRule="auto"/>
        <w:jc w:val="start"/>
      </w:pPr>
      <w:r>
        <w:rPr>
          <w:rFonts w:ascii="Canva Sans" w:hAnsi="Canva Sans" w:cs="Canva Sans" w:eastAsia="Canva Sans"/>
          <w:color w:val="000000"/>
          <w:sz w:val="24"/>
          <w:szCs w:val="24"/>
        </w:rPr>
        <w:t xml:space="preserve">Above 10%: 80% to LPs, 20% to GP (carried interest)
</w:t>
      </w:r>
    </w:p>
    <w:p>
      <w:pPr>
        <w:spacing w:after="120" w:before="120" w:line="336" w:lineRule="auto"/>
        <w:ind w:firstLine="0" w:start="0"/>
        <w:jc w:val="start"/>
      </w:pPr>
      <w:r>
        <w:rPr>
          <w:rFonts w:ascii="Canva Sans" w:hAnsi="Canva Sans" w:cs="Canva Sans" w:eastAsia="Canva Sans"/>
          <w:color w:val="000000"/>
          <w:sz w:val="24"/>
          <w:szCs w:val="24"/>
        </w:rPr>
        <w:t xml:space="preserve">This structure aligns the interests of GPs and LPs by ensuring that GPs only profit significantly when they generate strong returns for their investors.
</w:t>
      </w:r>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This example will use a preferred return structure with a waterfall distribution, which is common in real estate partnerships.
</w:t>
      </w:r>
    </w:p>
    <w:p>
      <w:pPr>
        <w:spacing w:after="120" w:before="120" w:line="336" w:lineRule="auto"/>
        <w:ind w:firstLine="0" w:start="0"/>
        <w:jc w:val="start"/>
      </w:pPr>
      <w:r>
        <w:rPr>
          <w:rFonts w:ascii="Canva Sans" w:hAnsi="Canva Sans" w:cs="Canva Sans" w:eastAsia="Canva Sans"/>
          <w:color w:val="000000"/>
          <w:sz w:val="24"/>
          <w:szCs w:val="24"/>
        </w:rPr>
        <w:t>Let's assume the following structure:</w:t>
      </w:r>
      <w:r>
        <w:rPr>
          <w:rFonts w:ascii="Canva Sans" w:hAnsi="Canva Sans" w:cs="Canva Sans" w:eastAsia="Canva Sans"/>
          <w:color w:val="000000"/>
          <w:sz w:val="24"/>
          <w:szCs w:val="24"/>
        </w:rPr>
        <w:t xml:space="preserve">
</w:t>
      </w:r>
    </w:p>
    <w:p>
      <w:pPr>
        <w:numPr>
          <w:ilvl w:val="0"/>
          <w:numId w:val="38"/>
        </w:numPr>
        <w:spacing w:after="0" w:before="0" w:line="336" w:lineRule="auto"/>
        <w:jc w:val="start"/>
      </w:pPr>
      <w:r>
        <w:rPr>
          <w:rFonts w:ascii="Canva Sans" w:hAnsi="Canva Sans" w:cs="Canva Sans" w:eastAsia="Canva Sans"/>
          <w:color w:val="000000"/>
          <w:sz w:val="24"/>
          <w:szCs w:val="24"/>
        </w:rPr>
        <w:t xml:space="preserve">8% Preferred Return to Limited Partners (LPs)
</w:t>
      </w:r>
    </w:p>
    <w:p>
      <w:pPr>
        <w:numPr>
          <w:ilvl w:val="0"/>
          <w:numId w:val="38"/>
        </w:numPr>
        <w:spacing w:after="0" w:before="0" w:line="336" w:lineRule="auto"/>
        <w:jc w:val="start"/>
      </w:pPr>
      <w:r>
        <w:rPr>
          <w:rFonts w:ascii="Canva Sans" w:hAnsi="Canva Sans" w:cs="Canva Sans" w:eastAsia="Canva Sans"/>
          <w:color w:val="000000"/>
          <w:sz w:val="24"/>
          <w:szCs w:val="24"/>
        </w:rPr>
        <w:t xml:space="preserve">After Preferred Return:
</w:t>
      </w:r>
    </w:p>
    <w:p>
      <w:pPr>
        <w:numPr>
          <w:ilvl w:val="1"/>
          <w:numId w:val="38"/>
        </w:numPr>
        <w:spacing w:after="0" w:before="0" w:line="336" w:lineRule="auto"/>
        <w:jc w:val="start"/>
      </w:pPr>
      <w:r>
        <w:rPr>
          <w:rFonts w:ascii="Canva Sans" w:hAnsi="Canva Sans" w:cs="Canva Sans" w:eastAsia="Canva Sans"/>
          <w:color w:val="000000"/>
          <w:sz w:val="24"/>
          <w:szCs w:val="24"/>
        </w:rPr>
        <w:t xml:space="preserve">80% to LPs, 20% to General Partner (GP) until 12% IRR
</w:t>
      </w:r>
    </w:p>
    <w:p>
      <w:pPr>
        <w:numPr>
          <w:ilvl w:val="1"/>
          <w:numId w:val="38"/>
        </w:numPr>
        <w:spacing w:after="0" w:before="0" w:line="336" w:lineRule="auto"/>
        <w:jc w:val="start"/>
      </w:pPr>
      <w:r>
        <w:rPr>
          <w:rFonts w:ascii="Canva Sans" w:hAnsi="Canva Sans" w:cs="Canva Sans" w:eastAsia="Canva Sans"/>
          <w:color w:val="000000"/>
          <w:sz w:val="24"/>
          <w:szCs w:val="24"/>
        </w:rPr>
        <w:t xml:space="preserve">70% to LPs, 30% to GP until 15% IRR
</w:t>
      </w:r>
    </w:p>
    <w:p>
      <w:pPr>
        <w:numPr>
          <w:ilvl w:val="1"/>
          <w:numId w:val="38"/>
        </w:numPr>
        <w:spacing w:after="0" w:before="0" w:line="336" w:lineRule="auto"/>
        <w:jc w:val="start"/>
      </w:pPr>
      <w:r>
        <w:rPr>
          <w:rFonts w:ascii="Canva Sans" w:hAnsi="Canva Sans" w:cs="Canva Sans" w:eastAsia="Canva Sans"/>
          <w:color w:val="000000"/>
          <w:sz w:val="24"/>
          <w:szCs w:val="24"/>
        </w:rPr>
        <w:t xml:space="preserve">60% to LPs, 40% to GP for returns above 15% IRR
</w:t>
      </w:r>
    </w:p>
    <w:p>
      <w:pPr>
        <w:spacing w:after="120" w:before="120" w:line="336" w:lineRule="auto"/>
        <w:ind w:firstLine="0" w:start="0"/>
        <w:jc w:val="start"/>
      </w:pPr>
      <w:r>
        <w:rPr>
          <w:rFonts w:ascii="Canva Sans" w:hAnsi="Canva Sans" w:cs="Canva Sans" w:eastAsia="Canva Sans"/>
          <w:color w:val="000000"/>
          <w:sz w:val="24"/>
          <w:szCs w:val="24"/>
        </w:rPr>
        <w:t>Example scenarios: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Low Profit Scenario
</w:t>
      </w:r>
    </w:p>
    <w:p>
      <w:pPr>
        <w:spacing w:after="120" w:before="120" w:line="336" w:lineRule="auto"/>
        <w:ind w:firstLine="0" w:start="0"/>
        <w:jc w:val="start"/>
      </w:pPr>
      <w:r>
        <w:rPr>
          <w:rFonts w:ascii="Canva Sans" w:hAnsi="Canva Sans" w:cs="Canva Sans" w:eastAsia="Canva Sans"/>
          <w:color w:val="000000"/>
          <w:sz w:val="24"/>
          <w:szCs w:val="24"/>
        </w:rPr>
        <w:t xml:space="preserve">Total Profit: $50,000 </w:t>
        <w:br/>
      </w:r>
      <w:r>
        <w:rPr>
          <w:rFonts w:ascii="Canva Sans" w:hAnsi="Canva Sans" w:cs="Canva Sans" w:eastAsia="Canva Sans"/>
          <w:color w:val="000000"/>
          <w:sz w:val="24"/>
          <w:szCs w:val="24"/>
        </w:rPr>
        <w:t>Invested Capital: $1,000,000</w:t>
      </w:r>
      <w:r>
        <w:rPr>
          <w:rFonts w:ascii="Canva Sans" w:hAnsi="Canva Sans" w:cs="Canva Sans" w:eastAsia="Canva Sans"/>
          <w:color w:val="000000"/>
          <w:sz w:val="24"/>
          <w:szCs w:val="24"/>
        </w:rPr>
        <w:t xml:space="preserve">
</w:t>
      </w:r>
    </w:p>
    <w:p>
      <w:pPr>
        <w:numPr>
          <w:ilvl w:val="0"/>
          <w:numId w:val="39"/>
        </w:numPr>
        <w:spacing w:after="0" w:before="0" w:line="336" w:lineRule="auto"/>
        <w:jc w:val="start"/>
      </w:pPr>
      <w:r>
        <w:rPr>
          <w:rFonts w:ascii="Canva Sans" w:hAnsi="Canva Sans" w:cs="Canva Sans" w:eastAsia="Canva Sans"/>
          <w:color w:val="000000"/>
          <w:sz w:val="24"/>
          <w:szCs w:val="24"/>
        </w:rPr>
        <w:t xml:space="preserve">Preferred Return (8%): $80,000
</w:t>
      </w:r>
    </w:p>
    <w:p>
      <w:pPr>
        <w:numPr>
          <w:ilvl w:val="1"/>
          <w:numId w:val="40"/>
        </w:numPr>
        <w:spacing w:after="0" w:before="0" w:line="336" w:lineRule="auto"/>
        <w:jc w:val="start"/>
      </w:pPr>
      <w:r>
        <w:rPr>
          <w:rFonts w:ascii="Canva Sans" w:hAnsi="Canva Sans" w:cs="Canva Sans" w:eastAsia="Canva Sans"/>
          <w:color w:val="000000"/>
          <w:sz w:val="24"/>
          <w:szCs w:val="24"/>
        </w:rPr>
        <w:t xml:space="preserve">LPs receive all $50,000 (100%)
</w:t>
      </w:r>
    </w:p>
    <w:p>
      <w:pPr>
        <w:numPr>
          <w:ilvl w:val="1"/>
          <w:numId w:val="40"/>
        </w:numPr>
        <w:spacing w:after="0" w:before="0" w:line="336" w:lineRule="auto"/>
        <w:jc w:val="start"/>
      </w:pPr>
      <w:r>
        <w:rPr>
          <w:rFonts w:ascii="Canva Sans" w:hAnsi="Canva Sans" w:cs="Canva Sans" w:eastAsia="Canva Sans"/>
          <w:color w:val="000000"/>
          <w:sz w:val="24"/>
          <w:szCs w:val="24"/>
        </w:rPr>
        <w:t xml:space="preserve">GP receives $0
</w:t>
      </w:r>
    </w:p>
    <w:p>
      <w:pPr>
        <w:spacing w:after="120" w:before="120" w:line="336" w:lineRule="auto"/>
        <w:ind w:firstLine="0" w:start="0"/>
        <w:jc w:val="start"/>
      </w:pPr>
      <w:r>
        <w:rPr>
          <w:rFonts w:ascii="Canva Sans" w:hAnsi="Canva Sans" w:cs="Canva Sans" w:eastAsia="Canva Sans"/>
          <w:color w:val="000000"/>
          <w:sz w:val="24"/>
          <w:szCs w:val="24"/>
        </w:rPr>
        <w:t>In this scenario, the profit doesn't cover the full preferred return, so LPs receive all available profits.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Medium Profit Scenario
</w:t>
      </w:r>
    </w:p>
    <w:p>
      <w:pPr>
        <w:spacing w:after="120" w:before="120" w:line="336" w:lineRule="auto"/>
        <w:ind w:firstLine="0" w:start="0"/>
        <w:jc w:val="start"/>
      </w:pPr>
      <w:r>
        <w:rPr>
          <w:rFonts w:ascii="Canva Sans" w:hAnsi="Canva Sans" w:cs="Canva Sans" w:eastAsia="Canva Sans"/>
          <w:color w:val="000000"/>
          <w:sz w:val="24"/>
          <w:szCs w:val="24"/>
        </w:rPr>
        <w:t xml:space="preserve">Total Profit: $150,000 </w:t>
        <w:br/>
      </w:r>
      <w:r>
        <w:rPr>
          <w:rFonts w:ascii="Canva Sans" w:hAnsi="Canva Sans" w:cs="Canva Sans" w:eastAsia="Canva Sans"/>
          <w:color w:val="000000"/>
          <w:sz w:val="24"/>
          <w:szCs w:val="24"/>
        </w:rPr>
        <w:t>Invested Capital: $1,000,000</w:t>
      </w:r>
      <w:r>
        <w:rPr>
          <w:rFonts w:ascii="Canva Sans" w:hAnsi="Canva Sans" w:cs="Canva Sans" w:eastAsia="Canva Sans"/>
          <w:color w:val="000000"/>
          <w:sz w:val="24"/>
          <w:szCs w:val="24"/>
        </w:rPr>
        <w:t xml:space="preserve">
</w:t>
      </w:r>
    </w:p>
    <w:p>
      <w:pPr>
        <w:numPr>
          <w:ilvl w:val="0"/>
          <w:numId w:val="41"/>
        </w:numPr>
        <w:spacing w:after="0" w:before="0" w:line="336" w:lineRule="auto"/>
        <w:jc w:val="start"/>
      </w:pPr>
      <w:r>
        <w:rPr>
          <w:rFonts w:ascii="Canva Sans" w:hAnsi="Canva Sans" w:cs="Canva Sans" w:eastAsia="Canva Sans"/>
          <w:color w:val="000000"/>
          <w:sz w:val="24"/>
          <w:szCs w:val="24"/>
        </w:rPr>
        <w:t xml:space="preserve">Preferred Return (8%): $80,000
</w:t>
      </w:r>
    </w:p>
    <w:p>
      <w:pPr>
        <w:numPr>
          <w:ilvl w:val="1"/>
          <w:numId w:val="42"/>
        </w:numPr>
        <w:spacing w:after="0" w:before="0" w:line="336" w:lineRule="auto"/>
        <w:jc w:val="start"/>
      </w:pPr>
      <w:r>
        <w:rPr>
          <w:rFonts w:ascii="Canva Sans" w:hAnsi="Canva Sans" w:cs="Canva Sans" w:eastAsia="Canva Sans"/>
          <w:color w:val="000000"/>
          <w:sz w:val="24"/>
          <w:szCs w:val="24"/>
        </w:rPr>
        <w:t xml:space="preserve">LPs receive $80,000
</w:t>
      </w:r>
    </w:p>
    <w:p>
      <w:pPr>
        <w:numPr>
          <w:ilvl w:val="0"/>
          <w:numId w:val="43"/>
        </w:numPr>
        <w:spacing w:after="0" w:before="0" w:line="336" w:lineRule="auto"/>
        <w:jc w:val="start"/>
      </w:pPr>
      <w:r>
        <w:rPr>
          <w:rFonts w:ascii="Canva Sans" w:hAnsi="Canva Sans" w:cs="Canva Sans" w:eastAsia="Canva Sans"/>
          <w:color w:val="000000"/>
          <w:sz w:val="24"/>
          <w:szCs w:val="24"/>
        </w:rPr>
        <w:t xml:space="preserve">Remaining Profit ($70,000) split 80/20:
</w:t>
      </w:r>
    </w:p>
    <w:p>
      <w:pPr>
        <w:numPr>
          <w:ilvl w:val="1"/>
          <w:numId w:val="44"/>
        </w:numPr>
        <w:spacing w:after="0" w:before="0" w:line="336" w:lineRule="auto"/>
        <w:jc w:val="start"/>
      </w:pPr>
      <w:r>
        <w:rPr>
          <w:rFonts w:ascii="Canva Sans" w:hAnsi="Canva Sans" w:cs="Canva Sans" w:eastAsia="Canva Sans"/>
          <w:color w:val="000000"/>
          <w:sz w:val="24"/>
          <w:szCs w:val="24"/>
        </w:rPr>
        <w:t xml:space="preserve">LPs receive additional $56,000 (80% of $70,000)
</w:t>
      </w:r>
    </w:p>
    <w:p>
      <w:pPr>
        <w:numPr>
          <w:ilvl w:val="1"/>
          <w:numId w:val="44"/>
        </w:numPr>
        <w:spacing w:after="0" w:before="0" w:line="336" w:lineRule="auto"/>
        <w:jc w:val="start"/>
      </w:pPr>
      <w:r>
        <w:rPr>
          <w:rFonts w:ascii="Canva Sans" w:hAnsi="Canva Sans" w:cs="Canva Sans" w:eastAsia="Canva Sans"/>
          <w:color w:val="000000"/>
          <w:sz w:val="24"/>
          <w:szCs w:val="24"/>
        </w:rPr>
        <w:t xml:space="preserve">GP receives $14,000 (20% of $70,000)
</w:t>
      </w:r>
    </w:p>
    <w:p>
      <w:pPr>
        <w:spacing w:after="120" w:before="120" w:line="336" w:lineRule="auto"/>
        <w:ind w:firstLine="0" w:start="0"/>
        <w:jc w:val="start"/>
      </w:pPr>
      <w:r>
        <w:rPr>
          <w:rFonts w:ascii="Canva Sans" w:hAnsi="Canva Sans" w:cs="Canva Sans" w:eastAsia="Canva Sans"/>
          <w:color w:val="000000"/>
          <w:sz w:val="24"/>
          <w:szCs w:val="24"/>
        </w:rPr>
        <w:t>Total Distribution:</w:t>
      </w:r>
      <w:r>
        <w:rPr>
          <w:rFonts w:ascii="Canva Sans" w:hAnsi="Canva Sans" w:cs="Canva Sans" w:eastAsia="Canva Sans"/>
          <w:color w:val="000000"/>
          <w:sz w:val="24"/>
          <w:szCs w:val="24"/>
        </w:rPr>
        <w:t xml:space="preserve">
</w:t>
      </w:r>
    </w:p>
    <w:p>
      <w:pPr>
        <w:numPr>
          <w:ilvl w:val="0"/>
          <w:numId w:val="45"/>
        </w:numPr>
        <w:spacing w:after="0" w:before="0" w:line="336" w:lineRule="auto"/>
        <w:jc w:val="start"/>
      </w:pPr>
      <w:r>
        <w:rPr>
          <w:rFonts w:ascii="Canva Sans" w:hAnsi="Canva Sans" w:cs="Canva Sans" w:eastAsia="Canva Sans"/>
          <w:color w:val="000000"/>
          <w:sz w:val="24"/>
          <w:szCs w:val="24"/>
        </w:rPr>
        <w:t xml:space="preserve">LPs: $136,000
</w:t>
      </w:r>
    </w:p>
    <w:p>
      <w:pPr>
        <w:numPr>
          <w:ilvl w:val="0"/>
          <w:numId w:val="45"/>
        </w:numPr>
        <w:spacing w:after="0" w:before="0" w:line="336" w:lineRule="auto"/>
        <w:jc w:val="start"/>
      </w:pPr>
      <w:r>
        <w:rPr>
          <w:rFonts w:ascii="Canva Sans" w:hAnsi="Canva Sans" w:cs="Canva Sans" w:eastAsia="Canva Sans"/>
          <w:color w:val="000000"/>
          <w:sz w:val="24"/>
          <w:szCs w:val="24"/>
        </w:rPr>
        <w:t xml:space="preserve">GP: $14,000
</w:t>
      </w:r>
    </w:p>
    <w:p>
      <w:pPr>
        <w:spacing w:after="120" w:before="120" w:line="336" w:lineRule="auto"/>
        <w:ind w:firstLine="0" w:start="0"/>
        <w:jc w:val="start"/>
      </w:pPr>
      <w:r>
        <w:rPr>
          <w:rFonts w:ascii="Canva Sans Medium" w:hAnsi="Canva Sans Medium" w:cs="Canva Sans Medium" w:eastAsia="Canva Sans Medium"/>
          <w:b/>
          <w:bCs/>
          <w:color w:val="000000"/>
          <w:sz w:val="26"/>
          <w:szCs w:val="26"/>
        </w:rPr>
        <w:t xml:space="preserve">High Profit Scenario
</w:t>
      </w:r>
    </w:p>
    <w:p>
      <w:pPr>
        <w:spacing w:after="120" w:before="120" w:line="336" w:lineRule="auto"/>
        <w:ind w:firstLine="0" w:start="0"/>
        <w:jc w:val="start"/>
      </w:pPr>
      <w:r>
        <w:rPr>
          <w:rFonts w:ascii="Canva Sans" w:hAnsi="Canva Sans" w:cs="Canva Sans" w:eastAsia="Canva Sans"/>
          <w:color w:val="000000"/>
          <w:sz w:val="24"/>
          <w:szCs w:val="24"/>
        </w:rPr>
        <w:t xml:space="preserve">Total Profit: $300,000 </w:t>
        <w:br/>
      </w:r>
      <w:r>
        <w:rPr>
          <w:rFonts w:ascii="Canva Sans" w:hAnsi="Canva Sans" w:cs="Canva Sans" w:eastAsia="Canva Sans"/>
          <w:color w:val="000000"/>
          <w:sz w:val="24"/>
          <w:szCs w:val="24"/>
        </w:rPr>
        <w:t>Invested Capital: $1,000,000</w:t>
      </w:r>
      <w:r>
        <w:rPr>
          <w:rFonts w:ascii="Canva Sans" w:hAnsi="Canva Sans" w:cs="Canva Sans" w:eastAsia="Canva Sans"/>
          <w:color w:val="000000"/>
          <w:sz w:val="24"/>
          <w:szCs w:val="24"/>
        </w:rPr>
        <w:t xml:space="preserve">
</w:t>
      </w:r>
    </w:p>
    <w:p>
      <w:pPr>
        <w:numPr>
          <w:ilvl w:val="0"/>
          <w:numId w:val="46"/>
        </w:numPr>
        <w:spacing w:after="0" w:before="0" w:line="336" w:lineRule="auto"/>
        <w:jc w:val="start"/>
      </w:pPr>
      <w:r>
        <w:rPr>
          <w:rFonts w:ascii="Canva Sans" w:hAnsi="Canva Sans" w:cs="Canva Sans" w:eastAsia="Canva Sans"/>
          <w:color w:val="000000"/>
          <w:sz w:val="24"/>
          <w:szCs w:val="24"/>
        </w:rPr>
        <w:t xml:space="preserve">Preferred Return (8%): $80,000
</w:t>
      </w:r>
    </w:p>
    <w:p>
      <w:pPr>
        <w:numPr>
          <w:ilvl w:val="1"/>
          <w:numId w:val="47"/>
        </w:numPr>
        <w:spacing w:after="0" w:before="0" w:line="336" w:lineRule="auto"/>
        <w:jc w:val="start"/>
      </w:pPr>
      <w:r>
        <w:rPr>
          <w:rFonts w:ascii="Canva Sans" w:hAnsi="Canva Sans" w:cs="Canva Sans" w:eastAsia="Canva Sans"/>
          <w:color w:val="000000"/>
          <w:sz w:val="24"/>
          <w:szCs w:val="24"/>
        </w:rPr>
        <w:t xml:space="preserve">LPs receive $80,000
</w:t>
      </w:r>
    </w:p>
    <w:p>
      <w:pPr>
        <w:numPr>
          <w:ilvl w:val="0"/>
          <w:numId w:val="48"/>
        </w:numPr>
        <w:spacing w:after="0" w:before="0" w:line="336" w:lineRule="auto"/>
        <w:jc w:val="start"/>
      </w:pPr>
      <w:r>
        <w:rPr>
          <w:rFonts w:ascii="Canva Sans" w:hAnsi="Canva Sans" w:cs="Canva Sans" w:eastAsia="Canva Sans"/>
          <w:color w:val="000000"/>
          <w:sz w:val="24"/>
          <w:szCs w:val="24"/>
        </w:rPr>
        <w:t xml:space="preserve">Next tier up to 12% IRR ($40,000) split 80/20:
</w:t>
      </w:r>
    </w:p>
    <w:p>
      <w:pPr>
        <w:numPr>
          <w:ilvl w:val="1"/>
          <w:numId w:val="49"/>
        </w:numPr>
        <w:spacing w:after="0" w:before="0" w:line="336" w:lineRule="auto"/>
        <w:jc w:val="start"/>
      </w:pPr>
      <w:r>
        <w:rPr>
          <w:rFonts w:ascii="Canva Sans" w:hAnsi="Canva Sans" w:cs="Canva Sans" w:eastAsia="Canva Sans"/>
          <w:color w:val="000000"/>
          <w:sz w:val="24"/>
          <w:szCs w:val="24"/>
        </w:rPr>
        <w:t xml:space="preserve">LPs receive $32,000
</w:t>
      </w:r>
    </w:p>
    <w:p>
      <w:pPr>
        <w:numPr>
          <w:ilvl w:val="1"/>
          <w:numId w:val="49"/>
        </w:numPr>
        <w:spacing w:after="0" w:before="0" w:line="336" w:lineRule="auto"/>
        <w:jc w:val="start"/>
      </w:pPr>
      <w:r>
        <w:rPr>
          <w:rFonts w:ascii="Canva Sans" w:hAnsi="Canva Sans" w:cs="Canva Sans" w:eastAsia="Canva Sans"/>
          <w:color w:val="000000"/>
          <w:sz w:val="24"/>
          <w:szCs w:val="24"/>
        </w:rPr>
        <w:t xml:space="preserve">GP receives $8,000
</w:t>
      </w:r>
    </w:p>
    <w:p>
      <w:pPr>
        <w:numPr>
          <w:ilvl w:val="0"/>
          <w:numId w:val="50"/>
        </w:numPr>
        <w:spacing w:after="0" w:before="0" w:line="336" w:lineRule="auto"/>
        <w:jc w:val="start"/>
      </w:pPr>
      <w:r>
        <w:rPr>
          <w:rFonts w:ascii="Canva Sans" w:hAnsi="Canva Sans" w:cs="Canva Sans" w:eastAsia="Canva Sans"/>
          <w:color w:val="000000"/>
          <w:sz w:val="24"/>
          <w:szCs w:val="24"/>
        </w:rPr>
        <w:t xml:space="preserve">Next tier up to 15% IRR ($30,000) split 70/30:
</w:t>
      </w:r>
    </w:p>
    <w:p>
      <w:pPr>
        <w:numPr>
          <w:ilvl w:val="1"/>
          <w:numId w:val="51"/>
        </w:numPr>
        <w:spacing w:after="0" w:before="0" w:line="336" w:lineRule="auto"/>
        <w:jc w:val="start"/>
      </w:pPr>
      <w:r>
        <w:rPr>
          <w:rFonts w:ascii="Canva Sans" w:hAnsi="Canva Sans" w:cs="Canva Sans" w:eastAsia="Canva Sans"/>
          <w:color w:val="000000"/>
          <w:sz w:val="24"/>
          <w:szCs w:val="24"/>
        </w:rPr>
        <w:t xml:space="preserve">LPs receive $21,000
</w:t>
      </w:r>
    </w:p>
    <w:p>
      <w:pPr>
        <w:numPr>
          <w:ilvl w:val="1"/>
          <w:numId w:val="51"/>
        </w:numPr>
        <w:spacing w:after="0" w:before="0" w:line="336" w:lineRule="auto"/>
        <w:jc w:val="start"/>
      </w:pPr>
      <w:r>
        <w:rPr>
          <w:rFonts w:ascii="Canva Sans" w:hAnsi="Canva Sans" w:cs="Canva Sans" w:eastAsia="Canva Sans"/>
          <w:color w:val="000000"/>
          <w:sz w:val="24"/>
          <w:szCs w:val="24"/>
        </w:rPr>
        <w:t xml:space="preserve">GP receives $9,000
</w:t>
      </w:r>
    </w:p>
    <w:p>
      <w:pPr>
        <w:numPr>
          <w:ilvl w:val="0"/>
          <w:numId w:val="52"/>
        </w:numPr>
        <w:spacing w:after="0" w:before="0" w:line="336" w:lineRule="auto"/>
        <w:jc w:val="start"/>
      </w:pPr>
      <w:r>
        <w:rPr>
          <w:rFonts w:ascii="Canva Sans" w:hAnsi="Canva Sans" w:cs="Canva Sans" w:eastAsia="Canva Sans"/>
          <w:color w:val="000000"/>
          <w:sz w:val="24"/>
          <w:szCs w:val="24"/>
        </w:rPr>
        <w:t xml:space="preserve">Remaining profit ($150,000) split 60/40:
</w:t>
      </w:r>
    </w:p>
    <w:p>
      <w:pPr>
        <w:numPr>
          <w:ilvl w:val="1"/>
          <w:numId w:val="53"/>
        </w:numPr>
        <w:spacing w:after="0" w:before="0" w:line="336" w:lineRule="auto"/>
        <w:jc w:val="start"/>
      </w:pPr>
      <w:r>
        <w:rPr>
          <w:rFonts w:ascii="Canva Sans" w:hAnsi="Canva Sans" w:cs="Canva Sans" w:eastAsia="Canva Sans"/>
          <w:color w:val="000000"/>
          <w:sz w:val="24"/>
          <w:szCs w:val="24"/>
        </w:rPr>
        <w:t xml:space="preserve">LPs receive $90,000
</w:t>
      </w:r>
    </w:p>
    <w:p>
      <w:pPr>
        <w:numPr>
          <w:ilvl w:val="1"/>
          <w:numId w:val="53"/>
        </w:numPr>
        <w:spacing w:after="0" w:before="0" w:line="336" w:lineRule="auto"/>
        <w:jc w:val="start"/>
      </w:pPr>
      <w:r>
        <w:rPr>
          <w:rFonts w:ascii="Canva Sans" w:hAnsi="Canva Sans" w:cs="Canva Sans" w:eastAsia="Canva Sans"/>
          <w:color w:val="000000"/>
          <w:sz w:val="24"/>
          <w:szCs w:val="24"/>
        </w:rPr>
        <w:t xml:space="preserve">GP receives $60,000
</w:t>
      </w:r>
    </w:p>
    <w:p>
      <w:pPr>
        <w:spacing w:after="120" w:before="120" w:line="336" w:lineRule="auto"/>
        <w:ind w:firstLine="0" w:start="0"/>
        <w:jc w:val="start"/>
      </w:pPr>
      <w:r>
        <w:rPr>
          <w:rFonts w:ascii="Canva Sans Bold" w:hAnsi="Canva Sans Bold" w:cs="Canva Sans Bold" w:eastAsia="Canva Sans Bold"/>
          <w:b/>
          <w:bCs/>
          <w:color w:val="000000"/>
          <w:sz w:val="26"/>
          <w:szCs w:val="26"/>
        </w:rPr>
        <w:t>Total Distribution:</w:t>
      </w:r>
      <w:r>
        <w:rPr>
          <w:rFonts w:ascii="Canva Sans Bold" w:hAnsi="Canva Sans Bold" w:cs="Canva Sans Bold" w:eastAsia="Canva Sans Bold"/>
          <w:b/>
          <w:bCs/>
          <w:color w:val="000000"/>
          <w:sz w:val="26"/>
          <w:szCs w:val="26"/>
        </w:rPr>
        <w:t xml:space="preserve">
</w:t>
      </w:r>
    </w:p>
    <w:p>
      <w:pPr>
        <w:numPr>
          <w:ilvl w:val="0"/>
          <w:numId w:val="54"/>
        </w:numPr>
        <w:spacing w:after="0" w:before="0" w:line="336" w:lineRule="auto"/>
        <w:jc w:val="start"/>
      </w:pPr>
      <w:r>
        <w:rPr>
          <w:rFonts w:ascii="Canva Sans" w:hAnsi="Canva Sans" w:cs="Canva Sans" w:eastAsia="Canva Sans"/>
          <w:color w:val="000000"/>
          <w:sz w:val="24"/>
          <w:szCs w:val="24"/>
        </w:rPr>
        <w:t xml:space="preserve">LPs: $223,000
</w:t>
      </w:r>
    </w:p>
    <w:p>
      <w:pPr>
        <w:numPr>
          <w:ilvl w:val="0"/>
          <w:numId w:val="54"/>
        </w:numPr>
        <w:spacing w:after="0" w:before="0" w:line="336" w:lineRule="auto"/>
        <w:jc w:val="start"/>
      </w:pPr>
      <w:r>
        <w:rPr>
          <w:rFonts w:ascii="Canva Sans" w:hAnsi="Canva Sans" w:cs="Canva Sans" w:eastAsia="Canva Sans"/>
          <w:color w:val="000000"/>
          <w:sz w:val="24"/>
          <w:szCs w:val="24"/>
        </w:rPr>
        <w:t xml:space="preserve">GP: $77,000
</w:t>
      </w:r>
    </w:p>
    <w:p>
      <w:pPr>
        <w:spacing w:after="120" w:before="120" w:line="336" w:lineRule="auto"/>
        <w:ind w:firstLine="0" w:start="0"/>
        <w:jc w:val="start"/>
      </w:pPr>
      <w:r>
        <w:rPr>
          <w:rFonts w:ascii="Canva Sans" w:hAnsi="Canva Sans" w:cs="Canva Sans" w:eastAsia="Canva Sans"/>
          <w:color w:val="000000"/>
          <w:sz w:val="24"/>
          <w:szCs w:val="24"/>
        </w:rPr>
        <w:t>This structure ensures that investors (LPs) receive their preferred return first, protecting their downside, while incentivizing the GP to maximize returns by offering increasing profit shares at higher return levels. The exact percentages and tiers can be adjusted based on the specific agreement between partners.</w:t>
      </w:r>
      <w:r>
        <w:rPr>
          <w:rFonts w:ascii="Canva Sans" w:hAnsi="Canva Sans" w:cs="Canva Sans" w:eastAsia="Canva Sans"/>
          <w:color w:val="000000"/>
          <w:sz w:val="24"/>
          <w:szCs w:val="24"/>
        </w:rPr>
        <w:t xml:space="preserve">
</w:t>
      </w:r>
    </w:p>
    <w:p>
      <w:pPr>
        <w:spacing w:after="120" w:before="120"/>
      </w:pPr>
      <w:r>
        <w:br w:type="page"/>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5. Risk Management and Due Diligence
</w:t>
      </w:r>
    </w:p>
    <w:p>
      <w:pPr>
        <w:numPr>
          <w:ilvl w:val="0"/>
          <w:numId w:val="55"/>
        </w:numPr>
        <w:spacing w:after="0" w:before="0" w:line="336" w:lineRule="auto"/>
        <w:jc w:val="start"/>
      </w:pPr>
      <w:r>
        <w:rPr>
          <w:rFonts w:ascii="Canva Sans" w:hAnsi="Canva Sans" w:cs="Canva Sans" w:eastAsia="Canva Sans"/>
          <w:color w:val="000000"/>
          <w:sz w:val="24"/>
          <w:szCs w:val="24"/>
        </w:rPr>
        <w:t xml:space="preserve">Property assessment process
</w:t>
      </w:r>
    </w:p>
    <w:p>
      <w:pPr>
        <w:numPr>
          <w:ilvl w:val="0"/>
          <w:numId w:val="55"/>
        </w:numPr>
        <w:spacing w:after="0" w:before="0" w:line="336" w:lineRule="auto"/>
        <w:jc w:val="start"/>
      </w:pPr>
      <w:r>
        <w:rPr>
          <w:rFonts w:ascii="Canva Sans" w:hAnsi="Canva Sans" w:cs="Canva Sans" w:eastAsia="Canva Sans"/>
          <w:color w:val="000000"/>
          <w:sz w:val="24"/>
          <w:szCs w:val="24"/>
        </w:rPr>
        <w:t xml:space="preserve">Market risk analysis
</w:t>
      </w:r>
    </w:p>
    <w:p>
      <w:pPr>
        <w:numPr>
          <w:ilvl w:val="0"/>
          <w:numId w:val="55"/>
        </w:numPr>
        <w:spacing w:after="0" w:before="0" w:line="336" w:lineRule="auto"/>
        <w:jc w:val="start"/>
      </w:pPr>
      <w:r>
        <w:rPr>
          <w:rFonts w:ascii="Canva Sans" w:hAnsi="Canva Sans" w:cs="Canva Sans" w:eastAsia="Canva Sans"/>
          <w:color w:val="000000"/>
          <w:sz w:val="24"/>
          <w:szCs w:val="24"/>
        </w:rPr>
        <w:t xml:space="preserve">Insurance and liability protection
</w:t>
      </w:r>
    </w:p>
    <w:p>
      <w:pPr>
        <w:numPr>
          <w:ilvl w:val="0"/>
          <w:numId w:val="55"/>
        </w:numPr>
        <w:spacing w:after="0" w:before="0" w:line="336" w:lineRule="auto"/>
        <w:jc w:val="start"/>
      </w:pPr>
      <w:r>
        <w:rPr>
          <w:rFonts w:ascii="Canva Sans" w:hAnsi="Canva Sans" w:cs="Canva Sans" w:eastAsia="Canva Sans"/>
          <w:color w:val="000000"/>
          <w:sz w:val="24"/>
          <w:szCs w:val="24"/>
        </w:rPr>
        <w:t xml:space="preserve">Diversification strategies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6. Financing and Partnerships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6.1 Funding Sources
</w:t>
      </w:r>
    </w:p>
    <w:p>
      <w:pPr>
        <w:numPr>
          <w:ilvl w:val="0"/>
          <w:numId w:val="56"/>
        </w:numPr>
        <w:spacing w:after="0" w:before="0" w:line="336" w:lineRule="auto"/>
        <w:jc w:val="start"/>
      </w:pPr>
      <w:r>
        <w:rPr>
          <w:rFonts w:ascii="Canva Sans" w:hAnsi="Canva Sans" w:cs="Canva Sans" w:eastAsia="Canva Sans"/>
          <w:color w:val="000000"/>
          <w:sz w:val="24"/>
          <w:szCs w:val="24"/>
        </w:rPr>
        <w:t xml:space="preserve">Member capital contributions
</w:t>
      </w:r>
    </w:p>
    <w:p>
      <w:pPr>
        <w:numPr>
          <w:ilvl w:val="0"/>
          <w:numId w:val="56"/>
        </w:numPr>
        <w:spacing w:after="0" w:before="0" w:line="336" w:lineRule="auto"/>
        <w:jc w:val="start"/>
      </w:pPr>
      <w:r>
        <w:rPr>
          <w:rFonts w:ascii="Canva Sans" w:hAnsi="Canva Sans" w:cs="Canva Sans" w:eastAsia="Canva Sans"/>
          <w:color w:val="000000"/>
          <w:sz w:val="24"/>
          <w:szCs w:val="24"/>
        </w:rPr>
        <w:t xml:space="preserve">Bank partnerships and lending options
</w:t>
      </w:r>
    </w:p>
    <w:p>
      <w:pPr>
        <w:numPr>
          <w:ilvl w:val="0"/>
          <w:numId w:val="56"/>
        </w:numPr>
        <w:spacing w:after="0" w:before="0" w:line="336" w:lineRule="auto"/>
        <w:jc w:val="start"/>
      </w:pPr>
      <w:r>
        <w:rPr>
          <w:rFonts w:ascii="Canva Sans" w:hAnsi="Canva Sans" w:cs="Canva Sans" w:eastAsia="Canva Sans"/>
          <w:color w:val="000000"/>
          <w:sz w:val="24"/>
          <w:szCs w:val="24"/>
        </w:rPr>
        <w:t xml:space="preserve">Government incentives and grants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6.2 Strategic Alliances
</w:t>
      </w:r>
    </w:p>
    <w:p>
      <w:pPr>
        <w:numPr>
          <w:ilvl w:val="0"/>
          <w:numId w:val="57"/>
        </w:numPr>
        <w:spacing w:after="0" w:before="0" w:line="336" w:lineRule="auto"/>
        <w:jc w:val="start"/>
      </w:pPr>
      <w:r>
        <w:rPr>
          <w:rFonts w:ascii="Canva Sans" w:hAnsi="Canva Sans" w:cs="Canva Sans" w:eastAsia="Canva Sans"/>
          <w:color w:val="000000"/>
          <w:sz w:val="24"/>
          <w:szCs w:val="24"/>
        </w:rPr>
        <w:t xml:space="preserve">Local community organizations
</w:t>
      </w:r>
    </w:p>
    <w:p>
      <w:pPr>
        <w:numPr>
          <w:ilvl w:val="0"/>
          <w:numId w:val="57"/>
        </w:numPr>
        <w:spacing w:after="0" w:before="0" w:line="336" w:lineRule="auto"/>
        <w:jc w:val="start"/>
      </w:pPr>
      <w:r>
        <w:rPr>
          <w:rFonts w:ascii="Canva Sans" w:hAnsi="Canva Sans" w:cs="Canva Sans" w:eastAsia="Canva Sans"/>
          <w:color w:val="000000"/>
          <w:sz w:val="24"/>
          <w:szCs w:val="24"/>
        </w:rPr>
        <w:t xml:space="preserve">City development agencies
</w:t>
      </w:r>
    </w:p>
    <w:p>
      <w:pPr>
        <w:numPr>
          <w:ilvl w:val="0"/>
          <w:numId w:val="57"/>
        </w:numPr>
        <w:spacing w:after="0" w:before="0" w:line="336" w:lineRule="auto"/>
        <w:jc w:val="start"/>
      </w:pPr>
      <w:r>
        <w:rPr>
          <w:rFonts w:ascii="Canva Sans" w:hAnsi="Canva Sans" w:cs="Canva Sans" w:eastAsia="Canva Sans"/>
          <w:color w:val="000000"/>
          <w:sz w:val="24"/>
          <w:szCs w:val="24"/>
        </w:rPr>
        <w:t xml:space="preserve">Real estate networks and associations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7. Projected Returns and Exit Strategies
</w:t>
      </w:r>
    </w:p>
    <w:p>
      <w:pPr>
        <w:numPr>
          <w:ilvl w:val="0"/>
          <w:numId w:val="58"/>
        </w:numPr>
        <w:spacing w:after="0" w:before="0" w:line="336" w:lineRule="auto"/>
        <w:jc w:val="start"/>
      </w:pPr>
      <w:r>
        <w:rPr>
          <w:rFonts w:ascii="Canva Sans" w:hAnsi="Canva Sans" w:cs="Canva Sans" w:eastAsia="Canva Sans"/>
          <w:color w:val="000000"/>
          <w:sz w:val="24"/>
          <w:szCs w:val="24"/>
        </w:rPr>
        <w:t xml:space="preserve">ROI projections for different property types
</w:t>
      </w:r>
    </w:p>
    <w:p>
      <w:pPr>
        <w:numPr>
          <w:ilvl w:val="0"/>
          <w:numId w:val="58"/>
        </w:numPr>
        <w:spacing w:after="0" w:before="0" w:line="336" w:lineRule="auto"/>
        <w:jc w:val="start"/>
      </w:pPr>
      <w:r>
        <w:rPr>
          <w:rFonts w:ascii="Canva Sans" w:hAnsi="Canva Sans" w:cs="Canva Sans" w:eastAsia="Canva Sans"/>
          <w:color w:val="000000"/>
          <w:sz w:val="24"/>
          <w:szCs w:val="24"/>
        </w:rPr>
        <w:t xml:space="preserve">Cash flow estimates
</w:t>
      </w:r>
    </w:p>
    <w:p>
      <w:pPr>
        <w:numPr>
          <w:ilvl w:val="0"/>
          <w:numId w:val="58"/>
        </w:numPr>
        <w:spacing w:after="0" w:before="0" w:line="336" w:lineRule="auto"/>
        <w:jc w:val="start"/>
      </w:pPr>
      <w:r>
        <w:rPr>
          <w:rFonts w:ascii="Canva Sans" w:hAnsi="Canva Sans" w:cs="Canva Sans" w:eastAsia="Canva Sans"/>
          <w:color w:val="000000"/>
          <w:sz w:val="24"/>
          <w:szCs w:val="24"/>
        </w:rPr>
        <w:t xml:space="preserve">Appreciation forecasts
</w:t>
      </w:r>
    </w:p>
    <w:p>
      <w:pPr>
        <w:numPr>
          <w:ilvl w:val="0"/>
          <w:numId w:val="58"/>
        </w:numPr>
        <w:spacing w:after="0" w:before="0" w:line="336" w:lineRule="auto"/>
        <w:jc w:val="start"/>
      </w:pPr>
      <w:r>
        <w:rPr>
          <w:rFonts w:ascii="Canva Sans" w:hAnsi="Canva Sans" w:cs="Canva Sans" w:eastAsia="Canva Sans"/>
          <w:color w:val="000000"/>
          <w:sz w:val="24"/>
          <w:szCs w:val="24"/>
        </w:rPr>
        <w:t xml:space="preserve">Exit strategy options (e.g., sell, refinance, hold)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8. Team and Expertise
</w:t>
      </w:r>
    </w:p>
    <w:p>
      <w:pPr>
        <w:numPr>
          <w:ilvl w:val="0"/>
          <w:numId w:val="59"/>
        </w:numPr>
        <w:spacing w:after="0" w:before="0" w:line="336" w:lineRule="auto"/>
        <w:jc w:val="start"/>
      </w:pPr>
      <w:r>
        <w:rPr>
          <w:rFonts w:ascii="Canva Sans" w:hAnsi="Canva Sans" w:cs="Canva Sans" w:eastAsia="Canva Sans"/>
          <w:color w:val="000000"/>
          <w:sz w:val="24"/>
          <w:szCs w:val="24"/>
        </w:rPr>
        <w:t xml:space="preserve">Your background and expertise
</w:t>
      </w:r>
    </w:p>
    <w:p>
      <w:pPr>
        <w:numPr>
          <w:ilvl w:val="0"/>
          <w:numId w:val="59"/>
        </w:numPr>
        <w:spacing w:after="0" w:before="0" w:line="336" w:lineRule="auto"/>
        <w:jc w:val="start"/>
      </w:pPr>
      <w:r>
        <w:rPr>
          <w:rFonts w:ascii="Canva Sans" w:hAnsi="Canva Sans" w:cs="Canva Sans" w:eastAsia="Canva Sans"/>
          <w:color w:val="000000"/>
          <w:sz w:val="24"/>
          <w:szCs w:val="24"/>
        </w:rPr>
        <w:t xml:space="preserve">Profiles of key team members
</w:t>
      </w:r>
    </w:p>
    <w:p>
      <w:pPr>
        <w:numPr>
          <w:ilvl w:val="0"/>
          <w:numId w:val="59"/>
        </w:numPr>
        <w:spacing w:after="0" w:before="0" w:line="336" w:lineRule="auto"/>
        <w:jc w:val="start"/>
      </w:pPr>
      <w:r>
        <w:rPr>
          <w:rFonts w:ascii="Canva Sans" w:hAnsi="Canva Sans" w:cs="Canva Sans" w:eastAsia="Canva Sans"/>
          <w:color w:val="000000"/>
          <w:sz w:val="24"/>
          <w:szCs w:val="24"/>
        </w:rPr>
        <w:t xml:space="preserve">Advisory board (if applicable)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9. Legal and Compliance
</w:t>
      </w:r>
    </w:p>
    <w:p>
      <w:pPr>
        <w:numPr>
          <w:ilvl w:val="0"/>
          <w:numId w:val="60"/>
        </w:numPr>
        <w:spacing w:after="0" w:before="0" w:line="336" w:lineRule="auto"/>
        <w:jc w:val="start"/>
      </w:pPr>
      <w:r>
        <w:rPr>
          <w:rFonts w:ascii="Canva Sans" w:hAnsi="Canva Sans" w:cs="Canva Sans" w:eastAsia="Canva Sans"/>
          <w:color w:val="000000"/>
          <w:sz w:val="24"/>
          <w:szCs w:val="24"/>
        </w:rPr>
        <w:t xml:space="preserve">Zoning and building code adherence
</w:t>
      </w:r>
    </w:p>
    <w:p>
      <w:pPr>
        <w:numPr>
          <w:ilvl w:val="0"/>
          <w:numId w:val="60"/>
        </w:numPr>
        <w:spacing w:after="0" w:before="0" w:line="336" w:lineRule="auto"/>
        <w:jc w:val="start"/>
      </w:pPr>
      <w:r>
        <w:rPr>
          <w:rFonts w:ascii="Canva Sans" w:hAnsi="Canva Sans" w:cs="Canva Sans" w:eastAsia="Canva Sans"/>
          <w:color w:val="000000"/>
          <w:sz w:val="24"/>
          <w:szCs w:val="24"/>
        </w:rPr>
        <w:t xml:space="preserve">Licensing and permit requirements
</w:t>
      </w:r>
    </w:p>
    <w:p>
      <w:pPr>
        <w:numPr>
          <w:ilvl w:val="0"/>
          <w:numId w:val="60"/>
        </w:numPr>
        <w:spacing w:after="0" w:before="0" w:line="336" w:lineRule="auto"/>
        <w:jc w:val="start"/>
      </w:pPr>
      <w:r>
        <w:rPr>
          <w:rFonts w:ascii="Canva Sans" w:hAnsi="Canva Sans" w:cs="Canva Sans" w:eastAsia="Canva Sans"/>
          <w:color w:val="000000"/>
          <w:sz w:val="24"/>
          <w:szCs w:val="24"/>
        </w:rPr>
        <w:t xml:space="preserve">Investor rights and protections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10. Next Steps
</w:t>
      </w:r>
    </w:p>
    <w:p>
      <w:pPr>
        <w:numPr>
          <w:ilvl w:val="0"/>
          <w:numId w:val="61"/>
        </w:numPr>
        <w:spacing w:after="0" w:before="0" w:line="336" w:lineRule="auto"/>
        <w:jc w:val="start"/>
      </w:pPr>
      <w:r>
        <w:rPr>
          <w:rFonts w:ascii="Canva Sans" w:hAnsi="Canva Sans" w:cs="Canva Sans" w:eastAsia="Canva Sans"/>
          <w:color w:val="000000"/>
          <w:sz w:val="24"/>
          <w:szCs w:val="24"/>
        </w:rPr>
        <w:t xml:space="preserve">How to join the investment group
</w:t>
      </w:r>
    </w:p>
    <w:p>
      <w:pPr>
        <w:numPr>
          <w:ilvl w:val="0"/>
          <w:numId w:val="61"/>
        </w:numPr>
        <w:spacing w:after="0" w:before="0" w:line="336" w:lineRule="auto"/>
        <w:jc w:val="start"/>
      </w:pPr>
      <w:r>
        <w:rPr>
          <w:rFonts w:ascii="Canva Sans" w:hAnsi="Canva Sans" w:cs="Canva Sans" w:eastAsia="Canva Sans"/>
          <w:color w:val="000000"/>
          <w:sz w:val="24"/>
          <w:szCs w:val="24"/>
        </w:rPr>
        <w:t xml:space="preserve">Upcoming property opportunities
</w:t>
      </w:r>
    </w:p>
    <w:p>
      <w:pPr>
        <w:numPr>
          <w:ilvl w:val="0"/>
          <w:numId w:val="61"/>
        </w:numPr>
        <w:spacing w:after="0" w:before="0" w:line="336" w:lineRule="auto"/>
        <w:jc w:val="start"/>
      </w:pPr>
      <w:r>
        <w:rPr>
          <w:rFonts w:ascii="Canva Sans" w:hAnsi="Canva Sans" w:cs="Canva Sans" w:eastAsia="Canva Sans"/>
          <w:color w:val="000000"/>
          <w:sz w:val="24"/>
          <w:szCs w:val="24"/>
        </w:rPr>
        <w:t xml:space="preserve">Contact information and Q&amp;A session details
</w:t>
      </w:r>
    </w:p>
    <w:p>
      <w:pPr>
        <w:spacing w:after="120" w:before="120" w:line="336" w:lineRule="auto"/>
        <w:ind w:firstLine="0" w:start="0"/>
        <w:jc w:val="start"/>
      </w:pPr>
      <w:r>
        <w:rPr>
          <w:rFonts w:ascii="Canva Sans Medium" w:hAnsi="Canva Sans Medium" w:cs="Canva Sans Medium" w:eastAsia="Canva Sans Medium"/>
          <w:b/>
          <w:bCs/>
          <w:color w:val="000000"/>
          <w:sz w:val="36"/>
          <w:szCs w:val="36"/>
        </w:rPr>
        <w:t xml:space="preserve">11. Appendices
</w:t>
      </w:r>
    </w:p>
    <w:p>
      <w:pPr>
        <w:numPr>
          <w:ilvl w:val="0"/>
          <w:numId w:val="62"/>
        </w:numPr>
        <w:spacing w:after="0" w:before="0" w:line="336" w:lineRule="auto"/>
        <w:jc w:val="start"/>
      </w:pPr>
      <w:r>
        <w:rPr>
          <w:rFonts w:ascii="Canva Sans" w:hAnsi="Canva Sans" w:cs="Canva Sans" w:eastAsia="Canva Sans"/>
          <w:color w:val="000000"/>
          <w:sz w:val="24"/>
          <w:szCs w:val="24"/>
        </w:rPr>
        <w:t xml:space="preserve">Detailed financial projections
</w:t>
      </w:r>
    </w:p>
    <w:p>
      <w:pPr>
        <w:numPr>
          <w:ilvl w:val="0"/>
          <w:numId w:val="62"/>
        </w:numPr>
        <w:spacing w:after="0" w:before="0" w:line="336" w:lineRule="auto"/>
        <w:jc w:val="start"/>
      </w:pPr>
      <w:r>
        <w:rPr>
          <w:rFonts w:ascii="Canva Sans" w:hAnsi="Canva Sans" w:cs="Canva Sans" w:eastAsia="Canva Sans"/>
          <w:color w:val="000000"/>
          <w:sz w:val="24"/>
          <w:szCs w:val="24"/>
        </w:rPr>
        <w:t xml:space="preserve">Case studies of successful similar investments
</w:t>
      </w:r>
    </w:p>
    <w:p>
      <w:pPr>
        <w:numPr>
          <w:ilvl w:val="0"/>
          <w:numId w:val="62"/>
        </w:numPr>
        <w:spacing w:after="0" w:before="0" w:line="336" w:lineRule="auto"/>
        <w:jc w:val="start"/>
      </w:pPr>
      <w:r>
        <w:rPr>
          <w:rFonts w:ascii="Canva Sans" w:hAnsi="Canva Sans" w:cs="Canva Sans" w:eastAsia="Canva Sans"/>
          <w:color w:val="000000"/>
          <w:sz w:val="24"/>
          <w:szCs w:val="24"/>
        </w:rPr>
        <w:t xml:space="preserve">Letters of intent from potential partners or properties
</w:t>
      </w:r>
    </w:p>
    <w:p>
      <w:pPr>
        <w:spacing w:after="120" w:before="120"/>
      </w:pPr>
      <w:r>
        <w:br w:type="page"/>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48"/>
          <w:szCs w:val="48"/>
        </w:rPr>
        <w:t xml:space="preserve">Hear are sample available properties and helpful links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jc w:val="center"/>
      </w:pPr>
      <w:r>
        <w:drawing>
          <wp:inline distT="0" distR="0" distB="0" distL="0">
            <wp:extent cx="5734050" cy="7420535"/>
            <wp:docPr id="0" name="Drawing 0" descr="6fbe0e6efd51d9ea07b0a17fb2cfc15e.png"/>
            <a:graphic xmlns:a="http://schemas.openxmlformats.org/drawingml/2006/main">
              <a:graphicData uri="http://schemas.openxmlformats.org/drawingml/2006/picture">
                <pic:pic xmlns:pic="http://schemas.openxmlformats.org/drawingml/2006/picture">
                  <pic:nvPicPr>
                    <pic:cNvPr id="0" name="Picture 0" descr="6fbe0e6efd51d9ea07b0a17fb2cfc15e.png"/>
                    <pic:cNvPicPr>
                      <a:picLocks noChangeAspect="true"/>
                    </pic:cNvPicPr>
                  </pic:nvPicPr>
                  <pic:blipFill>
                    <a:blip r:embed="rId23"/>
                    <a:stretch>
                      <a:fillRect/>
                    </a:stretch>
                  </pic:blipFill>
                  <pic:spPr>
                    <a:xfrm>
                      <a:off x="0" y="0"/>
                      <a:ext cx="5734050" cy="7420535"/>
                    </a:xfrm>
                    <a:prstGeom prst="rect">
                      <a:avLst/>
                    </a:prstGeom>
                  </pic:spPr>
                </pic:pic>
              </a:graphicData>
            </a:graphic>
          </wp:inline>
        </w:drawing>
      </w:r>
    </w:p>
    <w:p>
      <w:pPr>
        <w:spacing w:after="120" w:before="120"/>
        <w:jc w:val="center"/>
      </w:pPr>
      <w:r>
        <w:drawing>
          <wp:inline distT="0" distR="0" distB="0" distL="0">
            <wp:extent cx="5734050" cy="7420535"/>
            <wp:docPr id="1" name="Drawing 1" descr="63d83cba2038b7d2bad7f9e9051a3d2c.png"/>
            <a:graphic xmlns:a="http://schemas.openxmlformats.org/drawingml/2006/main">
              <a:graphicData uri="http://schemas.openxmlformats.org/drawingml/2006/picture">
                <pic:pic xmlns:pic="http://schemas.openxmlformats.org/drawingml/2006/picture">
                  <pic:nvPicPr>
                    <pic:cNvPr id="0" name="Picture 1" descr="63d83cba2038b7d2bad7f9e9051a3d2c.png"/>
                    <pic:cNvPicPr>
                      <a:picLocks noChangeAspect="true"/>
                    </pic:cNvPicPr>
                  </pic:nvPicPr>
                  <pic:blipFill>
                    <a:blip r:embed="rId24"/>
                    <a:stretch>
                      <a:fillRect/>
                    </a:stretch>
                  </pic:blipFill>
                  <pic:spPr>
                    <a:xfrm>
                      <a:off x="0" y="0"/>
                      <a:ext cx="5734050" cy="7420535"/>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jc w:val="center"/>
      </w:pPr>
      <w:r>
        <w:drawing>
          <wp:inline distT="0" distR="0" distB="0" distL="0">
            <wp:extent cx="5734050" cy="7420535"/>
            <wp:docPr id="2" name="Drawing 2" descr="2ddfde2907103157a965648360c9963a.png"/>
            <a:graphic xmlns:a="http://schemas.openxmlformats.org/drawingml/2006/main">
              <a:graphicData uri="http://schemas.openxmlformats.org/drawingml/2006/picture">
                <pic:pic xmlns:pic="http://schemas.openxmlformats.org/drawingml/2006/picture">
                  <pic:nvPicPr>
                    <pic:cNvPr id="0" name="Picture 2" descr="2ddfde2907103157a965648360c9963a.png"/>
                    <pic:cNvPicPr>
                      <a:picLocks noChangeAspect="true"/>
                    </pic:cNvPicPr>
                  </pic:nvPicPr>
                  <pic:blipFill>
                    <a:blip r:embed="rId25"/>
                    <a:stretch>
                      <a:fillRect/>
                    </a:stretch>
                  </pic:blipFill>
                  <pic:spPr>
                    <a:xfrm>
                      <a:off x="0" y="0"/>
                      <a:ext cx="5734050" cy="7420535"/>
                    </a:xfrm>
                    <a:prstGeom prst="rect">
                      <a:avLst/>
                    </a:prstGeom>
                  </pic:spPr>
                </pic:pic>
              </a:graphicData>
            </a:graphic>
          </wp:inline>
        </w:drawing>
      </w:r>
    </w:p>
    <w:p>
      <w:pPr>
        <w:spacing w:after="120" w:before="120"/>
        <w:jc w:val="center"/>
      </w:pPr>
      <w:r>
        <w:drawing>
          <wp:inline distT="0" distR="0" distB="0" distL="0">
            <wp:extent cx="5734050" cy="7420535"/>
            <wp:docPr id="3" name="Drawing 3" descr="a65b0e9dbd30899751bb42518241349c.png"/>
            <a:graphic xmlns:a="http://schemas.openxmlformats.org/drawingml/2006/main">
              <a:graphicData uri="http://schemas.openxmlformats.org/drawingml/2006/picture">
                <pic:pic xmlns:pic="http://schemas.openxmlformats.org/drawingml/2006/picture">
                  <pic:nvPicPr>
                    <pic:cNvPr id="0" name="Picture 3" descr="a65b0e9dbd30899751bb42518241349c.png"/>
                    <pic:cNvPicPr>
                      <a:picLocks noChangeAspect="true"/>
                    </pic:cNvPicPr>
                  </pic:nvPicPr>
                  <pic:blipFill>
                    <a:blip r:embed="rId26"/>
                    <a:stretch>
                      <a:fillRect/>
                    </a:stretch>
                  </pic:blipFill>
                  <pic:spPr>
                    <a:xfrm>
                      <a:off x="0" y="0"/>
                      <a:ext cx="5734050" cy="7420535"/>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jc w:val="center"/>
      </w:pPr>
      <w:r>
        <w:drawing>
          <wp:inline distT="0" distR="0" distB="0" distL="0">
            <wp:extent cx="5734050" cy="7420535"/>
            <wp:docPr id="4" name="Drawing 4" descr="1f8a9249e5fdbf8cac8ab403d49a2d05.png"/>
            <a:graphic xmlns:a="http://schemas.openxmlformats.org/drawingml/2006/main">
              <a:graphicData uri="http://schemas.openxmlformats.org/drawingml/2006/picture">
                <pic:pic xmlns:pic="http://schemas.openxmlformats.org/drawingml/2006/picture">
                  <pic:nvPicPr>
                    <pic:cNvPr id="0" name="Picture 4" descr="1f8a9249e5fdbf8cac8ab403d49a2d05.png"/>
                    <pic:cNvPicPr>
                      <a:picLocks noChangeAspect="true"/>
                    </pic:cNvPicPr>
                  </pic:nvPicPr>
                  <pic:blipFill>
                    <a:blip r:embed="rId27"/>
                    <a:stretch>
                      <a:fillRect/>
                    </a:stretch>
                  </pic:blipFill>
                  <pic:spPr>
                    <a:xfrm>
                      <a:off x="0" y="0"/>
                      <a:ext cx="5734050" cy="7420535"/>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hyperlink r:id="rId28">
        <w:r>
          <w:rPr>
            <w:rFonts w:ascii="Canva Sans" w:hAnsi="Canva Sans" w:cs="Canva Sans" w:eastAsia="Canva Sans"/>
            <w:color w:val="1a62ff"/>
            <w:sz w:val="24"/>
            <w:szCs w:val="24"/>
            <w:u w:val="single" w:color="1a62ff"/>
          </w:rPr>
          <w:t>https://public-cclba.epropertyplus.com/landmgmtpub/app/base/propertySearch?searchInfo=%7B%22criteria%22%3A%7B%22criterias%22%3A%5B%5D%7D%7D</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pPr>
      <w:hyperlink r:id="rId29">
        <w:r>
          <w:rPr>
            <w:color w:val="1B62ff"/>
            <w:u w:color="1B62ff" w:val="single"/>
          </w:rPr>
          <w:t>https://www.zillow.com/harvey-il/foreclosures/?searchQueryState=%7B%22pagination%22%3A%7B%7D%2C%22isMapVisible%22%3Atrue%2C%22mapBounds%22%3A%7B%22west%22%3A-87.83586137858379%2C%22east%22%3A-87.58763902750957%2C%22south%22%3A41.550032623149164%2C%22north%22%3A41.670679167065856%7D%2C%22regionSelection%22%3A%5B%7B%22regionId%22%3A45676%2C%22regionType%22%3A6%7D%5D%2C%22filterState%22%3A%7B%22sort%22%3A%7B%22value%22%3A%22globalrelevanceex%22%7D%2C%22fsba%22%3A%7B%22value%22%3Afalse%7D%2C%22fsbo%22%3A%7B%22value%22%3Afalse%7D%2C%22nc%22%3A%7B%22value%22%3Afalse%7D%2C%22cmsn%22%3A%7B%22value%22%3Afalse%7D%2C%22auc%22%3A%7B%22value%22%3Afalse%7D%7D%2C%22isListVisible%22%3Atrue%2C%22mapZoom%22%3A12%7D</w:t>
        </w:r>
      </w:hyperlink>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48"/>
          <w:szCs w:val="48"/>
        </w:rPr>
        <w:t xml:space="preserve">About Me
</w:t>
      </w:r>
    </w:p>
    <w:p>
      <w:pPr>
        <w:spacing w:after="120" w:before="120" w:line="336" w:lineRule="auto"/>
        <w:ind w:firstLine="0" w:start="0"/>
        <w:jc w:val="start"/>
      </w:pPr>
      <w:r>
        <w:rPr>
          <w:rFonts w:ascii="Canva Sans" w:hAnsi="Canva Sans" w:cs="Canva Sans" w:eastAsia="Canva Sans"/>
          <w:color w:val="000000"/>
          <w:sz w:val="24"/>
          <w:szCs w:val="24"/>
        </w:rPr>
        <w:t xml:space="preserve">As your dedicated consultant for establishing and growing your investor group, I offer a unique blend of expertise in data research, analysis, AI-driven strategy development, and comprehensive digital marketing. My services are designed to help you launch, manage, and scale your investment group effectively.
</w:t>
      </w:r>
    </w:p>
    <w:p>
      <w:pPr>
        <w:spacing w:after="120" w:before="120" w:line="336" w:lineRule="auto"/>
        <w:ind w:firstLine="0" w:start="0"/>
        <w:jc w:val="start"/>
      </w:pPr>
      <w:r>
        <w:rPr>
          <w:rFonts w:ascii="Canva Sans Medium" w:hAnsi="Canva Sans Medium" w:cs="Canva Sans Medium" w:eastAsia="Canva Sans Medium"/>
          <w:b/>
          <w:bCs/>
          <w:color w:val="000000"/>
          <w:sz w:val="30"/>
          <w:szCs w:val="30"/>
        </w:rPr>
        <w:t xml:space="preserve">Hourly Consultation Rate: $60 - $150 per hour
</w:t>
      </w:r>
    </w:p>
    <w:p>
      <w:pPr>
        <w:spacing w:after="120" w:before="120" w:line="336" w:lineRule="auto"/>
        <w:ind w:firstLine="0" w:start="0"/>
        <w:jc w:val="start"/>
      </w:pPr>
      <w:r>
        <w:rPr>
          <w:rFonts w:ascii="Canva Sans" w:hAnsi="Canva Sans" w:cs="Canva Sans" w:eastAsia="Canva Sans"/>
          <w:color w:val="000000"/>
          <w:sz w:val="24"/>
          <w:szCs w:val="24"/>
        </w:rPr>
        <w:t>This rate applies to personalized consulting services, including:</w:t>
      </w:r>
      <w:r>
        <w:rPr>
          <w:rFonts w:ascii="Canva Sans" w:hAnsi="Canva Sans" w:cs="Canva Sans" w:eastAsia="Canva Sans"/>
          <w:color w:val="000000"/>
          <w:sz w:val="24"/>
          <w:szCs w:val="24"/>
        </w:rPr>
        <w:t xml:space="preserve">
</w:t>
      </w:r>
    </w:p>
    <w:p>
      <w:pPr>
        <w:numPr>
          <w:ilvl w:val="0"/>
          <w:numId w:val="63"/>
        </w:numPr>
        <w:spacing w:after="0" w:before="0" w:line="336" w:lineRule="auto"/>
        <w:jc w:val="start"/>
      </w:pPr>
      <w:r>
        <w:rPr>
          <w:rFonts w:ascii="Canva Sans Bold" w:hAnsi="Canva Sans Bold" w:cs="Canva Sans Bold" w:eastAsia="Canva Sans Bold"/>
          <w:b/>
          <w:bCs/>
          <w:color w:val="000000"/>
          <w:sz w:val="24"/>
          <w:szCs w:val="24"/>
        </w:rPr>
        <w:t xml:space="preserve">Investment strategy development
</w:t>
      </w:r>
    </w:p>
    <w:p>
      <w:pPr>
        <w:numPr>
          <w:ilvl w:val="0"/>
          <w:numId w:val="63"/>
        </w:numPr>
        <w:spacing w:after="0" w:before="0" w:line="336" w:lineRule="auto"/>
        <w:jc w:val="start"/>
      </w:pPr>
      <w:r>
        <w:rPr>
          <w:rFonts w:ascii="Canva Sans Bold" w:hAnsi="Canva Sans Bold" w:cs="Canva Sans Bold" w:eastAsia="Canva Sans Bold"/>
          <w:b/>
          <w:bCs/>
          <w:color w:val="000000"/>
          <w:sz w:val="24"/>
          <w:szCs w:val="24"/>
        </w:rPr>
        <w:t xml:space="preserve">Market analysis and opportunity identification
</w:t>
      </w:r>
    </w:p>
    <w:p>
      <w:pPr>
        <w:numPr>
          <w:ilvl w:val="0"/>
          <w:numId w:val="63"/>
        </w:numPr>
        <w:spacing w:after="0" w:before="0" w:line="336" w:lineRule="auto"/>
        <w:jc w:val="start"/>
      </w:pPr>
      <w:r>
        <w:rPr>
          <w:rFonts w:ascii="Canva Sans Bold" w:hAnsi="Canva Sans Bold" w:cs="Canva Sans Bold" w:eastAsia="Canva Sans Bold"/>
          <w:b/>
          <w:bCs/>
          <w:color w:val="000000"/>
          <w:sz w:val="24"/>
          <w:szCs w:val="24"/>
        </w:rPr>
        <w:t xml:space="preserve">Group structure and operations planning
</w:t>
      </w:r>
    </w:p>
    <w:p>
      <w:pPr>
        <w:numPr>
          <w:ilvl w:val="0"/>
          <w:numId w:val="63"/>
        </w:numPr>
        <w:spacing w:after="0" w:before="0" w:line="336" w:lineRule="auto"/>
        <w:jc w:val="start"/>
      </w:pPr>
      <w:r>
        <w:rPr>
          <w:rFonts w:ascii="Canva Sans Bold" w:hAnsi="Canva Sans Bold" w:cs="Canva Sans Bold" w:eastAsia="Canva Sans Bold"/>
          <w:b/>
          <w:bCs/>
          <w:color w:val="000000"/>
          <w:sz w:val="24"/>
          <w:szCs w:val="24"/>
        </w:rPr>
        <w:t xml:space="preserve">Risk management and due diligence guidance
</w:t>
      </w:r>
    </w:p>
    <w:p>
      <w:pPr>
        <w:numPr>
          <w:ilvl w:val="0"/>
          <w:numId w:val="63"/>
        </w:numPr>
        <w:spacing w:after="0" w:before="0" w:line="336" w:lineRule="auto"/>
        <w:jc w:val="start"/>
      </w:pPr>
      <w:r>
        <w:rPr>
          <w:rFonts w:ascii="Canva Sans Bold" w:hAnsi="Canva Sans Bold" w:cs="Canva Sans Bold" w:eastAsia="Canva Sans Bold"/>
          <w:b/>
          <w:bCs/>
          <w:color w:val="000000"/>
          <w:sz w:val="24"/>
          <w:szCs w:val="24"/>
        </w:rPr>
        <w:t xml:space="preserve">Financial modeling and projections
</w:t>
      </w:r>
    </w:p>
    <w:p>
      <w:pPr>
        <w:spacing w:after="120" w:before="120" w:line="336" w:lineRule="auto"/>
        <w:ind w:firstLine="0" w:start="0"/>
        <w:jc w:val="start"/>
      </w:pPr>
      <w:r>
        <w:rPr>
          <w:rFonts w:ascii="Canva Sans Medium" w:hAnsi="Canva Sans Medium" w:cs="Canva Sans Medium" w:eastAsia="Canva Sans Medium"/>
          <w:b/>
          <w:bCs/>
          <w:color w:val="000000"/>
          <w:sz w:val="30"/>
          <w:szCs w:val="30"/>
        </w:rPr>
        <w:t>Se</w:t>
      </w:r>
      <w:r>
        <w:rPr>
          <w:rFonts w:ascii="Canva Sans Medium" w:hAnsi="Canva Sans Medium" w:cs="Canva Sans Medium" w:eastAsia="Canva Sans Medium"/>
          <w:b/>
          <w:bCs/>
          <w:color w:val="000000"/>
          <w:sz w:val="30"/>
          <w:szCs w:val="30"/>
        </w:rPr>
        <w:t>rvice Packages:</w:t>
      </w:r>
      <w:r>
        <w:rPr>
          <w:rFonts w:ascii="Canva Sans Medium" w:hAnsi="Canva Sans Medium" w:cs="Canva Sans Medium" w:eastAsia="Canva Sans Medium"/>
          <w:b/>
          <w:bCs/>
          <w:color w:val="000000"/>
          <w:sz w:val="30"/>
          <w:szCs w:val="30"/>
        </w:rPr>
        <w:t xml:space="preserve">
</w:t>
      </w:r>
    </w:p>
    <w:p>
      <w:pPr>
        <w:numPr>
          <w:ilvl w:val="0"/>
          <w:numId w:val="64"/>
        </w:numPr>
        <w:spacing w:after="0" w:before="0" w:line="336" w:lineRule="auto"/>
        <w:jc w:val="start"/>
      </w:pPr>
      <w:r>
        <w:rPr>
          <w:rFonts w:ascii="Canva Sans Bold" w:hAnsi="Canva Sans Bold" w:cs="Canva Sans Bold" w:eastAsia="Canva Sans Bold"/>
          <w:b/>
          <w:bCs/>
          <w:color w:val="000000"/>
          <w:sz w:val="26"/>
          <w:szCs w:val="26"/>
        </w:rPr>
        <w:t xml:space="preserve">Investor Group Launch Package
</w:t>
      </w:r>
    </w:p>
    <w:p>
      <w:pPr>
        <w:numPr>
          <w:ilvl w:val="1"/>
          <w:numId w:val="65"/>
        </w:numPr>
        <w:spacing w:after="0" w:before="0" w:line="336" w:lineRule="auto"/>
        <w:jc w:val="start"/>
      </w:pPr>
      <w:r>
        <w:rPr>
          <w:rFonts w:ascii="Canva Sans" w:hAnsi="Canva Sans" w:cs="Canva Sans" w:eastAsia="Canva Sans"/>
          <w:color w:val="000000"/>
          <w:sz w:val="24"/>
          <w:szCs w:val="24"/>
        </w:rPr>
        <w:t xml:space="preserve">Comprehensive market analysis
</w:t>
      </w:r>
    </w:p>
    <w:p>
      <w:pPr>
        <w:numPr>
          <w:ilvl w:val="1"/>
          <w:numId w:val="65"/>
        </w:numPr>
        <w:spacing w:after="0" w:before="0" w:line="336" w:lineRule="auto"/>
        <w:jc w:val="start"/>
      </w:pPr>
      <w:r>
        <w:rPr>
          <w:rFonts w:ascii="Canva Sans" w:hAnsi="Canva Sans" w:cs="Canva Sans" w:eastAsia="Canva Sans"/>
          <w:color w:val="000000"/>
          <w:sz w:val="24"/>
          <w:szCs w:val="24"/>
        </w:rPr>
        <w:t xml:space="preserve">Investment strategy development
</w:t>
      </w:r>
    </w:p>
    <w:p>
      <w:pPr>
        <w:numPr>
          <w:ilvl w:val="1"/>
          <w:numId w:val="65"/>
        </w:numPr>
        <w:spacing w:after="0" w:before="0" w:line="336" w:lineRule="auto"/>
        <w:jc w:val="start"/>
      </w:pPr>
      <w:r>
        <w:rPr>
          <w:rFonts w:ascii="Canva Sans" w:hAnsi="Canva Sans" w:cs="Canva Sans" w:eastAsia="Canva Sans"/>
          <w:color w:val="000000"/>
          <w:sz w:val="24"/>
          <w:szCs w:val="24"/>
        </w:rPr>
        <w:t xml:space="preserve">Legal structure recommendations
</w:t>
      </w:r>
    </w:p>
    <w:p>
      <w:pPr>
        <w:numPr>
          <w:ilvl w:val="1"/>
          <w:numId w:val="65"/>
        </w:numPr>
        <w:spacing w:after="0" w:before="0" w:line="336" w:lineRule="auto"/>
        <w:jc w:val="start"/>
      </w:pPr>
      <w:r>
        <w:rPr>
          <w:rFonts w:ascii="Canva Sans" w:hAnsi="Canva Sans" w:cs="Canva Sans" w:eastAsia="Canva Sans"/>
          <w:color w:val="000000"/>
          <w:sz w:val="24"/>
          <w:szCs w:val="24"/>
        </w:rPr>
        <w:t xml:space="preserve">Initial financial projections
</w:t>
      </w:r>
    </w:p>
    <w:p>
      <w:pPr>
        <w:numPr>
          <w:ilvl w:val="1"/>
          <w:numId w:val="65"/>
        </w:numPr>
        <w:spacing w:after="0" w:before="0" w:line="336" w:lineRule="auto"/>
        <w:jc w:val="start"/>
      </w:pPr>
      <w:r>
        <w:rPr>
          <w:rFonts w:ascii="Canva Sans" w:hAnsi="Canva Sans" w:cs="Canva Sans" w:eastAsia="Canva Sans"/>
          <w:color w:val="000000"/>
          <w:sz w:val="24"/>
          <w:szCs w:val="24"/>
        </w:rPr>
        <w:t xml:space="preserve">Basic digital presence setup </w:t>
        <w:br/>
      </w:r>
      <w:r>
        <w:rPr>
          <w:rFonts w:ascii="Canva Sans" w:hAnsi="Canva Sans" w:cs="Canva Sans" w:eastAsia="Canva Sans"/>
          <w:color w:val="000000"/>
          <w:sz w:val="24"/>
          <w:szCs w:val="24"/>
        </w:rPr>
        <w:t xml:space="preserve">Price: $2,500 - $4,000
</w:t>
      </w:r>
    </w:p>
    <w:p>
      <w:pPr>
        <w:numPr>
          <w:ilvl w:val="0"/>
          <w:numId w:val="66"/>
        </w:numPr>
        <w:spacing w:after="0" w:before="0" w:line="336" w:lineRule="auto"/>
        <w:jc w:val="start"/>
      </w:pPr>
      <w:r>
        <w:rPr>
          <w:rFonts w:ascii="Canva Sans Bold" w:hAnsi="Canva Sans Bold" w:cs="Canva Sans Bold" w:eastAsia="Canva Sans Bold"/>
          <w:b/>
          <w:bCs/>
          <w:color w:val="000000"/>
          <w:sz w:val="26"/>
          <w:szCs w:val="26"/>
        </w:rPr>
        <w:t xml:space="preserve">Digital Marketing Accelerator
</w:t>
      </w:r>
    </w:p>
    <w:p>
      <w:pPr>
        <w:numPr>
          <w:ilvl w:val="1"/>
          <w:numId w:val="67"/>
        </w:numPr>
        <w:spacing w:after="0" w:before="0" w:line="336" w:lineRule="auto"/>
        <w:jc w:val="start"/>
      </w:pPr>
      <w:r>
        <w:rPr>
          <w:rFonts w:ascii="Canva Sans" w:hAnsi="Canva Sans" w:cs="Canva Sans" w:eastAsia="Canva Sans"/>
          <w:color w:val="000000"/>
          <w:sz w:val="24"/>
          <w:szCs w:val="24"/>
        </w:rPr>
        <w:t xml:space="preserve">Custom WordPress website (10-15 pages)
</w:t>
      </w:r>
    </w:p>
    <w:p>
      <w:pPr>
        <w:numPr>
          <w:ilvl w:val="1"/>
          <w:numId w:val="67"/>
        </w:numPr>
        <w:spacing w:after="0" w:before="0" w:line="336" w:lineRule="auto"/>
        <w:jc w:val="start"/>
      </w:pPr>
      <w:r>
        <w:rPr>
          <w:rFonts w:ascii="Canva Sans" w:hAnsi="Canva Sans" w:cs="Canva Sans" w:eastAsia="Canva Sans"/>
          <w:color w:val="000000"/>
          <w:sz w:val="24"/>
          <w:szCs w:val="24"/>
        </w:rPr>
        <w:t xml:space="preserve">SEO optimization
</w:t>
      </w:r>
    </w:p>
    <w:p>
      <w:pPr>
        <w:numPr>
          <w:ilvl w:val="1"/>
          <w:numId w:val="67"/>
        </w:numPr>
        <w:spacing w:after="0" w:before="0" w:line="336" w:lineRule="auto"/>
        <w:jc w:val="start"/>
      </w:pPr>
      <w:r>
        <w:rPr>
          <w:rFonts w:ascii="Canva Sans" w:hAnsi="Canva Sans" w:cs="Canva Sans" w:eastAsia="Canva Sans"/>
          <w:color w:val="000000"/>
          <w:sz w:val="24"/>
          <w:szCs w:val="24"/>
        </w:rPr>
        <w:t xml:space="preserve">3 months of content creation (12 blog posts)
</w:t>
      </w:r>
    </w:p>
    <w:p>
      <w:pPr>
        <w:numPr>
          <w:ilvl w:val="1"/>
          <w:numId w:val="67"/>
        </w:numPr>
        <w:spacing w:after="0" w:before="0" w:line="336" w:lineRule="auto"/>
        <w:jc w:val="start"/>
      </w:pPr>
      <w:r>
        <w:rPr>
          <w:rFonts w:ascii="Canva Sans" w:hAnsi="Canva Sans" w:cs="Canva Sans" w:eastAsia="Canva Sans"/>
          <w:color w:val="000000"/>
          <w:sz w:val="24"/>
          <w:szCs w:val="24"/>
        </w:rPr>
        <w:t xml:space="preserve">Email marketing setup with 2 campaigns
</w:t>
      </w:r>
    </w:p>
    <w:p>
      <w:pPr>
        <w:numPr>
          <w:ilvl w:val="1"/>
          <w:numId w:val="67"/>
        </w:numPr>
        <w:spacing w:after="0" w:before="0" w:line="336" w:lineRule="auto"/>
        <w:jc w:val="start"/>
      </w:pPr>
      <w:r>
        <w:rPr>
          <w:rFonts w:ascii="Canva Sans" w:hAnsi="Canva Sans" w:cs="Canva Sans" w:eastAsia="Canva Sans"/>
          <w:color w:val="000000"/>
          <w:sz w:val="24"/>
          <w:szCs w:val="24"/>
        </w:rPr>
        <w:t xml:space="preserve">Social media management (3 platforms, 3 months) </w:t>
        <w:br/>
      </w:r>
      <w:r>
        <w:rPr>
          <w:rFonts w:ascii="Canva Sans" w:hAnsi="Canva Sans" w:cs="Canva Sans" w:eastAsia="Canva Sans"/>
          <w:color w:val="000000"/>
          <w:sz w:val="24"/>
          <w:szCs w:val="24"/>
        </w:rPr>
        <w:t xml:space="preserve">Price: $4,000 - $6,000
</w:t>
      </w:r>
    </w:p>
    <w:p>
      <w:pPr>
        <w:numPr>
          <w:ilvl w:val="0"/>
          <w:numId w:val="68"/>
        </w:numPr>
        <w:spacing w:after="0" w:before="0" w:line="336" w:lineRule="auto"/>
        <w:jc w:val="start"/>
      </w:pPr>
      <w:r>
        <w:rPr>
          <w:rFonts w:ascii="Canva Sans Bold" w:hAnsi="Canva Sans Bold" w:cs="Canva Sans Bold" w:eastAsia="Canva Sans Bold"/>
          <w:b/>
          <w:bCs/>
          <w:color w:val="000000"/>
          <w:sz w:val="26"/>
          <w:szCs w:val="26"/>
        </w:rPr>
        <w:t xml:space="preserve">Comprehensive Investor Attraction Suite
</w:t>
      </w:r>
    </w:p>
    <w:p>
      <w:pPr>
        <w:numPr>
          <w:ilvl w:val="1"/>
          <w:numId w:val="69"/>
        </w:numPr>
        <w:spacing w:after="0" w:before="0" w:line="336" w:lineRule="auto"/>
        <w:jc w:val="start"/>
      </w:pPr>
      <w:r>
        <w:rPr>
          <w:rFonts w:ascii="Canva Sans" w:hAnsi="Canva Sans" w:cs="Canva Sans" w:eastAsia="Canva Sans"/>
          <w:color w:val="000000"/>
          <w:sz w:val="24"/>
          <w:szCs w:val="24"/>
        </w:rPr>
        <w:t xml:space="preserve">Advanced website with investor portal
</w:t>
      </w:r>
    </w:p>
    <w:p>
      <w:pPr>
        <w:numPr>
          <w:ilvl w:val="1"/>
          <w:numId w:val="69"/>
        </w:numPr>
        <w:spacing w:after="0" w:before="0" w:line="336" w:lineRule="auto"/>
        <w:jc w:val="start"/>
      </w:pPr>
      <w:r>
        <w:rPr>
          <w:rFonts w:ascii="Canva Sans" w:hAnsi="Canva Sans" w:cs="Canva Sans" w:eastAsia="Canva Sans"/>
          <w:color w:val="000000"/>
          <w:sz w:val="24"/>
          <w:szCs w:val="24"/>
        </w:rPr>
        <w:t xml:space="preserve">6 months of targeted content marketing
</w:t>
      </w:r>
    </w:p>
    <w:p>
      <w:pPr>
        <w:numPr>
          <w:ilvl w:val="1"/>
          <w:numId w:val="69"/>
        </w:numPr>
        <w:spacing w:after="0" w:before="0" w:line="336" w:lineRule="auto"/>
        <w:jc w:val="start"/>
      </w:pPr>
      <w:r>
        <w:rPr>
          <w:rFonts w:ascii="Canva Sans" w:hAnsi="Canva Sans" w:cs="Canva Sans" w:eastAsia="Canva Sans"/>
          <w:color w:val="000000"/>
          <w:sz w:val="24"/>
          <w:szCs w:val="24"/>
        </w:rPr>
        <w:t xml:space="preserve">Email marketing automation
</w:t>
      </w:r>
    </w:p>
    <w:p>
      <w:pPr>
        <w:numPr>
          <w:ilvl w:val="1"/>
          <w:numId w:val="69"/>
        </w:numPr>
        <w:spacing w:after="0" w:before="0" w:line="336" w:lineRule="auto"/>
        <w:jc w:val="start"/>
      </w:pPr>
      <w:r>
        <w:rPr>
          <w:rFonts w:ascii="Canva Sans" w:hAnsi="Canva Sans" w:cs="Canva Sans" w:eastAsia="Canva Sans"/>
          <w:color w:val="000000"/>
          <w:sz w:val="24"/>
          <w:szCs w:val="24"/>
        </w:rPr>
        <w:t xml:space="preserve">Investor presentation materials
</w:t>
      </w:r>
    </w:p>
    <w:p>
      <w:pPr>
        <w:numPr>
          <w:ilvl w:val="1"/>
          <w:numId w:val="69"/>
        </w:numPr>
        <w:spacing w:after="0" w:before="0" w:line="336" w:lineRule="auto"/>
        <w:jc w:val="start"/>
      </w:pPr>
      <w:r>
        <w:rPr>
          <w:rFonts w:ascii="Canva Sans" w:hAnsi="Canva Sans" w:cs="Canva Sans" w:eastAsia="Canva Sans"/>
          <w:color w:val="000000"/>
          <w:sz w:val="24"/>
          <w:szCs w:val="24"/>
        </w:rPr>
        <w:t xml:space="preserve">Social media and PPC advertising campaigns </w:t>
        <w:br/>
      </w:r>
      <w:r>
        <w:rPr>
          <w:rFonts w:ascii="Canva Sans" w:hAnsi="Canva Sans" w:cs="Canva Sans" w:eastAsia="Canva Sans"/>
          <w:color w:val="000000"/>
          <w:sz w:val="24"/>
          <w:szCs w:val="24"/>
        </w:rPr>
        <w:t xml:space="preserve">Price: $8,000 - $12,000
</w:t>
      </w:r>
    </w:p>
    <w:p>
      <w:pPr>
        <w:numPr>
          <w:ilvl w:val="0"/>
          <w:numId w:val="70"/>
        </w:numPr>
        <w:spacing w:after="0" w:before="0" w:line="336" w:lineRule="auto"/>
        <w:jc w:val="start"/>
      </w:pPr>
      <w:r>
        <w:rPr>
          <w:rFonts w:ascii="Canva Sans Bold" w:hAnsi="Canva Sans Bold" w:cs="Canva Sans Bold" w:eastAsia="Canva Sans Bold"/>
          <w:b/>
          <w:bCs/>
          <w:color w:val="000000"/>
          <w:sz w:val="26"/>
          <w:szCs w:val="26"/>
        </w:rPr>
        <w:t xml:space="preserve">Ongoing Investor Relations Retainer
</w:t>
      </w:r>
    </w:p>
    <w:p>
      <w:pPr>
        <w:numPr>
          <w:ilvl w:val="1"/>
          <w:numId w:val="71"/>
        </w:numPr>
        <w:spacing w:after="0" w:before="0" w:line="336" w:lineRule="auto"/>
        <w:jc w:val="start"/>
      </w:pPr>
      <w:r>
        <w:rPr>
          <w:rFonts w:ascii="Canva Sans" w:hAnsi="Canva Sans" w:cs="Canva Sans" w:eastAsia="Canva Sans"/>
          <w:color w:val="000000"/>
          <w:sz w:val="24"/>
          <w:szCs w:val="24"/>
        </w:rPr>
        <w:t xml:space="preserve">Monthly performance reports
</w:t>
      </w:r>
    </w:p>
    <w:p>
      <w:pPr>
        <w:numPr>
          <w:ilvl w:val="1"/>
          <w:numId w:val="71"/>
        </w:numPr>
        <w:spacing w:after="0" w:before="0" w:line="336" w:lineRule="auto"/>
        <w:jc w:val="start"/>
      </w:pPr>
      <w:r>
        <w:rPr>
          <w:rFonts w:ascii="Canva Sans" w:hAnsi="Canva Sans" w:cs="Canva Sans" w:eastAsia="Canva Sans"/>
          <w:color w:val="000000"/>
          <w:sz w:val="24"/>
          <w:szCs w:val="24"/>
        </w:rPr>
        <w:t xml:space="preserve">Regular investor communications
</w:t>
      </w:r>
    </w:p>
    <w:p>
      <w:pPr>
        <w:numPr>
          <w:ilvl w:val="1"/>
          <w:numId w:val="71"/>
        </w:numPr>
        <w:spacing w:after="0" w:before="0" w:line="336" w:lineRule="auto"/>
        <w:jc w:val="start"/>
      </w:pPr>
      <w:r>
        <w:rPr>
          <w:rFonts w:ascii="Canva Sans" w:hAnsi="Canva Sans" w:cs="Canva Sans" w:eastAsia="Canva Sans"/>
          <w:color w:val="000000"/>
          <w:sz w:val="24"/>
          <w:szCs w:val="24"/>
        </w:rPr>
        <w:t xml:space="preserve">Content creation for updates and newsletters
</w:t>
      </w:r>
    </w:p>
    <w:p>
      <w:pPr>
        <w:numPr>
          <w:ilvl w:val="1"/>
          <w:numId w:val="71"/>
        </w:numPr>
        <w:spacing w:after="0" w:before="0" w:line="336" w:lineRule="auto"/>
        <w:jc w:val="start"/>
      </w:pPr>
      <w:r>
        <w:rPr>
          <w:rFonts w:ascii="Canva Sans" w:hAnsi="Canva Sans" w:cs="Canva Sans" w:eastAsia="Canva Sans"/>
          <w:color w:val="000000"/>
          <w:sz w:val="24"/>
          <w:szCs w:val="24"/>
        </w:rPr>
        <w:t xml:space="preserve">Website maintenance and updates
</w:t>
      </w:r>
    </w:p>
    <w:p>
      <w:pPr>
        <w:numPr>
          <w:ilvl w:val="1"/>
          <w:numId w:val="71"/>
        </w:numPr>
        <w:spacing w:after="0" w:before="0" w:line="336" w:lineRule="auto"/>
        <w:jc w:val="start"/>
      </w:pPr>
      <w:r>
        <w:rPr>
          <w:rFonts w:ascii="Canva Sans" w:hAnsi="Canva Sans" w:cs="Canva Sans" w:eastAsia="Canva Sans"/>
          <w:color w:val="000000"/>
          <w:sz w:val="24"/>
          <w:szCs w:val="24"/>
        </w:rPr>
        <w:t xml:space="preserve">Quarterly strategy review and adjustment </w:t>
        <w:br/>
      </w:r>
      <w:r>
        <w:rPr>
          <w:rFonts w:ascii="Canva Sans" w:hAnsi="Canva Sans" w:cs="Canva Sans" w:eastAsia="Canva Sans"/>
          <w:color w:val="000000"/>
          <w:sz w:val="24"/>
          <w:szCs w:val="24"/>
        </w:rPr>
        <w:t xml:space="preserve">Price: $1,000 - $2,500 per month
</w:t>
      </w:r>
    </w:p>
    <w:p>
      <w:pPr>
        <w:numPr>
          <w:ilvl w:val="0"/>
          <w:numId w:val="72"/>
        </w:numPr>
        <w:spacing w:after="0" w:before="0" w:line="336" w:lineRule="auto"/>
        <w:jc w:val="start"/>
      </w:pPr>
      <w:r>
        <w:rPr>
          <w:rFonts w:ascii="Canva Sans Bold" w:hAnsi="Canva Sans Bold" w:cs="Canva Sans Bold" w:eastAsia="Canva Sans Bold"/>
          <w:b/>
          <w:bCs/>
          <w:color w:val="000000"/>
          <w:sz w:val="26"/>
          <w:szCs w:val="26"/>
        </w:rPr>
        <w:t xml:space="preserve">Custom Web Application for Investor Management
</w:t>
      </w:r>
    </w:p>
    <w:p>
      <w:pPr>
        <w:numPr>
          <w:ilvl w:val="1"/>
          <w:numId w:val="73"/>
        </w:numPr>
        <w:spacing w:after="0" w:before="0" w:line="336" w:lineRule="auto"/>
        <w:jc w:val="start"/>
      </w:pPr>
      <w:r>
        <w:rPr>
          <w:rFonts w:ascii="Canva Sans" w:hAnsi="Canva Sans" w:cs="Canva Sans" w:eastAsia="Canva Sans"/>
          <w:color w:val="000000"/>
          <w:sz w:val="24"/>
          <w:szCs w:val="24"/>
        </w:rPr>
        <w:t xml:space="preserve">Tailored web application for tracking investments
</w:t>
      </w:r>
    </w:p>
    <w:p>
      <w:pPr>
        <w:numPr>
          <w:ilvl w:val="1"/>
          <w:numId w:val="73"/>
        </w:numPr>
        <w:spacing w:after="0" w:before="0" w:line="336" w:lineRule="auto"/>
        <w:jc w:val="start"/>
      </w:pPr>
      <w:r>
        <w:rPr>
          <w:rFonts w:ascii="Canva Sans" w:hAnsi="Canva Sans" w:cs="Canva Sans" w:eastAsia="Canva Sans"/>
          <w:color w:val="000000"/>
          <w:sz w:val="24"/>
          <w:szCs w:val="24"/>
        </w:rPr>
        <w:t xml:space="preserve">Secure investor login and dashboard
</w:t>
      </w:r>
    </w:p>
    <w:p>
      <w:pPr>
        <w:numPr>
          <w:ilvl w:val="1"/>
          <w:numId w:val="73"/>
        </w:numPr>
        <w:spacing w:after="0" w:before="0" w:line="336" w:lineRule="auto"/>
        <w:jc w:val="start"/>
      </w:pPr>
      <w:r>
        <w:rPr>
          <w:rFonts w:ascii="Canva Sans" w:hAnsi="Canva Sans" w:cs="Canva Sans" w:eastAsia="Canva Sans"/>
          <w:color w:val="000000"/>
          <w:sz w:val="24"/>
          <w:szCs w:val="24"/>
        </w:rPr>
        <w:t xml:space="preserve">Real-time reporting and analytics
</w:t>
      </w:r>
    </w:p>
    <w:p>
      <w:pPr>
        <w:numPr>
          <w:ilvl w:val="1"/>
          <w:numId w:val="73"/>
        </w:numPr>
        <w:spacing w:after="0" w:before="0" w:line="336" w:lineRule="auto"/>
        <w:jc w:val="start"/>
      </w:pPr>
      <w:r>
        <w:rPr>
          <w:rFonts w:ascii="Canva Sans" w:hAnsi="Canva Sans" w:cs="Canva Sans" w:eastAsia="Canva Sans"/>
          <w:color w:val="000000"/>
          <w:sz w:val="24"/>
          <w:szCs w:val="24"/>
        </w:rPr>
        <w:t xml:space="preserve">Integration with financial data sources </w:t>
        <w:br/>
      </w:r>
      <w:r>
        <w:rPr>
          <w:rFonts w:ascii="Canva Sans" w:hAnsi="Canva Sans" w:cs="Canva Sans" w:eastAsia="Canva Sans"/>
          <w:color w:val="000000"/>
          <w:sz w:val="24"/>
          <w:szCs w:val="24"/>
        </w:rPr>
        <w:t xml:space="preserve">Price: Starting at $5,000 (varies based on complexity)
</w:t>
      </w:r>
    </w:p>
    <w:p>
      <w:pPr>
        <w:numPr>
          <w:ilvl w:val="0"/>
          <w:numId w:val="74"/>
        </w:numPr>
        <w:spacing w:after="0" w:before="0" w:line="336" w:lineRule="auto"/>
        <w:jc w:val="start"/>
      </w:pPr>
      <w:r>
        <w:rPr>
          <w:rFonts w:ascii="Canva Sans Bold" w:hAnsi="Canva Sans Bold" w:cs="Canva Sans Bold" w:eastAsia="Canva Sans Bold"/>
          <w:b/>
          <w:bCs/>
          <w:color w:val="000000"/>
          <w:sz w:val="26"/>
          <w:szCs w:val="26"/>
        </w:rPr>
        <w:t xml:space="preserve">Investment Strategy Consultation
</w:t>
      </w:r>
    </w:p>
    <w:p>
      <w:pPr>
        <w:numPr>
          <w:ilvl w:val="1"/>
          <w:numId w:val="75"/>
        </w:numPr>
        <w:spacing w:after="0" w:before="0" w:line="336" w:lineRule="auto"/>
        <w:jc w:val="start"/>
      </w:pPr>
      <w:r>
        <w:rPr>
          <w:rFonts w:ascii="Canva Sans" w:hAnsi="Canva Sans" w:cs="Canva Sans" w:eastAsia="Canva Sans"/>
          <w:color w:val="000000"/>
          <w:sz w:val="24"/>
          <w:szCs w:val="24"/>
        </w:rPr>
        <w:t xml:space="preserve">Comprehensive market analysis
</w:t>
      </w:r>
    </w:p>
    <w:p>
      <w:pPr>
        <w:numPr>
          <w:ilvl w:val="1"/>
          <w:numId w:val="75"/>
        </w:numPr>
        <w:spacing w:after="0" w:before="0" w:line="336" w:lineRule="auto"/>
        <w:jc w:val="start"/>
      </w:pPr>
      <w:r>
        <w:rPr>
          <w:rFonts w:ascii="Canva Sans" w:hAnsi="Canva Sans" w:cs="Canva Sans" w:eastAsia="Canva Sans"/>
          <w:color w:val="000000"/>
          <w:sz w:val="24"/>
          <w:szCs w:val="24"/>
        </w:rPr>
        <w:t xml:space="preserve">Competitor analysis
</w:t>
      </w:r>
    </w:p>
    <w:p>
      <w:pPr>
        <w:numPr>
          <w:ilvl w:val="1"/>
          <w:numId w:val="75"/>
        </w:numPr>
        <w:spacing w:after="0" w:before="0" w:line="336" w:lineRule="auto"/>
        <w:jc w:val="start"/>
      </w:pPr>
      <w:r>
        <w:rPr>
          <w:rFonts w:ascii="Canva Sans" w:hAnsi="Canva Sans" w:cs="Canva Sans" w:eastAsia="Canva Sans"/>
          <w:color w:val="000000"/>
          <w:sz w:val="24"/>
          <w:szCs w:val="24"/>
        </w:rPr>
        <w:t xml:space="preserve">Custom investment strategy development
</w:t>
      </w:r>
    </w:p>
    <w:p>
      <w:pPr>
        <w:numPr>
          <w:ilvl w:val="1"/>
          <w:numId w:val="75"/>
        </w:numPr>
        <w:spacing w:after="0" w:before="0" w:line="336" w:lineRule="auto"/>
        <w:jc w:val="start"/>
      </w:pPr>
      <w:r>
        <w:rPr>
          <w:rFonts w:ascii="Canva Sans" w:hAnsi="Canva Sans" w:cs="Canva Sans" w:eastAsia="Canva Sans"/>
          <w:color w:val="000000"/>
          <w:sz w:val="24"/>
          <w:szCs w:val="24"/>
        </w:rPr>
        <w:t xml:space="preserve">3-month action plan
</w:t>
      </w:r>
    </w:p>
    <w:p>
      <w:pPr>
        <w:numPr>
          <w:ilvl w:val="1"/>
          <w:numId w:val="75"/>
        </w:numPr>
        <w:spacing w:after="0" w:before="0" w:line="336" w:lineRule="auto"/>
        <w:jc w:val="start"/>
      </w:pPr>
      <w:r>
        <w:rPr>
          <w:rFonts w:ascii="Canva Sans" w:hAnsi="Canva Sans" w:cs="Canva Sans" w:eastAsia="Canva Sans"/>
          <w:color w:val="000000"/>
          <w:sz w:val="24"/>
          <w:szCs w:val="24"/>
        </w:rPr>
        <w:t xml:space="preserve">2 follow-up consultation sessions </w:t>
        <w:br/>
      </w:r>
      <w:r>
        <w:rPr>
          <w:rFonts w:ascii="Canva Sans" w:hAnsi="Canva Sans" w:cs="Canva Sans" w:eastAsia="Canva Sans"/>
          <w:color w:val="000000"/>
          <w:sz w:val="24"/>
          <w:szCs w:val="24"/>
        </w:rPr>
        <w:t xml:space="preserve">Price: $2,500 - $4,000
</w:t>
      </w:r>
    </w:p>
    <w:p>
      <w:pPr>
        <w:spacing w:after="120" w:before="120" w:line="336" w:lineRule="auto"/>
        <w:ind w:firstLine="0" w:start="0"/>
        <w:jc w:val="start"/>
      </w:pPr>
      <w:r>
        <w:rPr>
          <w:rFonts w:ascii="Canva Sans" w:hAnsi="Canva Sans" w:cs="Canva Sans" w:eastAsia="Canva Sans"/>
          <w:color w:val="000000"/>
          <w:sz w:val="24"/>
          <w:szCs w:val="24"/>
        </w:rPr>
        <w:t>All packages can be customized to meet your specific needs and goals. My services leverage cutting-edge AI tools for strategy development and data analysis, ensuring you receive the most innovative and effective solutions for your investor group.Let's schedule a consultation to discuss how I can help you build and grow a successful investment group in Chicago's dynamic real estate market.</w:t>
      </w: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Italics">
    <w:panose1 w:val="020B0604020202090204"/>
    <w:charset w:characterSet="1"/>
    <w:embedItalic r:id="rId2"/>
  </w:font>
  <w:font w:name="Arimo Bold">
    <w:panose1 w:val="020B0704020202020204"/>
    <w:charset w:characterSet="1"/>
    <w:embedBold r:id="rId3"/>
  </w:font>
  <w:font w:name="Arimo Bold Italics">
    <w:panose1 w:val="020B0704020202090204"/>
    <w:charset w:characterSet="1"/>
    <w:embedBoldItalic r:id="rId4"/>
  </w:font>
  <w:font w:name="Tahoma">
    <w:panose1 w:val="020B0604030504040204"/>
    <w:charset w:characterSet="1"/>
  </w:font>
  <w:font w:name="Tahoma Bold">
    <w:panose1 w:val="020B0804030504040204"/>
    <w:charset w:characterSet="1"/>
  </w:font>
  <w:font w:name="Open Sans">
    <w:panose1 w:val="020B0606030504020204"/>
    <w:charset w:characterSet="1"/>
  </w:font>
  <w:font w:name="Open Sans Italics">
    <w:panose1 w:val="020B0606030504020204"/>
    <w:charset w:characterSet="1"/>
  </w:font>
  <w:font w:name="Open Sans Bold">
    <w:panose1 w:val="020B0806030504020204"/>
    <w:charset w:characterSet="1"/>
  </w:font>
  <w:font w:name="Open Sans Bold Italics">
    <w:panose1 w:val="020B0806030504020204"/>
    <w:charset w:characterSet="1"/>
  </w:font>
  <w:font w:name="Canva Sans">
    <w:panose1 w:val="020B0503030501040103"/>
    <w:charset w:characterSet="1"/>
    <w:embedRegular r:id="rId11"/>
  </w:font>
  <w:font w:name="Canva Sans Medium Italics">
    <w:panose1 w:val="020B0603030501040103"/>
    <w:charset w:characterSet="1"/>
    <w:embedBoldItalic r:id="rId12"/>
  </w:font>
  <w:font w:name="Canva Sans Italics">
    <w:panose1 w:val="020B0503030501040103"/>
    <w:charset w:characterSet="1"/>
    <w:embedItalic r:id="rId13"/>
  </w:font>
  <w:font w:name="Canva Sans Bold">
    <w:panose1 w:val="020B0803030501040103"/>
    <w:charset w:characterSet="1"/>
    <w:embedBold r:id="rId14"/>
  </w:font>
  <w:font w:name="Canva Sans Medium">
    <w:panose1 w:val="020B0603030501040103"/>
    <w:charset w:characterSet="1"/>
    <w:embedBold r:id="rId15"/>
  </w:font>
  <w:font w:name="Canva Sans Bold Italics">
    <w:panose1 w:val="020B0803030501040103"/>
    <w:charset w:characterSet="1"/>
    <w:embedBoldItalic r:id="rId16"/>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9">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6">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8">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0">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5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5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4">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6">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8">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0">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7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7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4">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7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https://www.redfin.com/city/29470/IL/Chicago/housing-market" TargetMode="External" Type="http://schemas.openxmlformats.org/officeDocument/2006/relationships/hyperlink"/><Relationship Id="rId11" Target="https://www.investopedia.com/articles/investing/091014/basics-forming-limited-liability-company-llc.asp" TargetMode="External" Type="http://schemas.openxmlformats.org/officeDocument/2006/relationships/hyperlink"/><Relationship Id="rId12" Target="https://www.investopedia.com/articles/investing/091014/basics-forming-limited-liability-company-llc.asp" TargetMode="External" Type="http://schemas.openxmlformats.org/officeDocument/2006/relationships/hyperlink"/><Relationship Id="rId13" Target="https://www.investopedia.com/articles/investing/091014/basics-forming-limited-liability-company-llc.asp" TargetMode="External" Type="http://schemas.openxmlformats.org/officeDocument/2006/relationships/hyperlink"/><Relationship Id="rId14" Target="https://www.wolterskluwer.com/en/expert-insights/singlemember-llc-vs-sole-proprietorship" TargetMode="External" Type="http://schemas.openxmlformats.org/officeDocument/2006/relationships/hyperlink"/><Relationship Id="rId15" Target="https://www.wolterskluwer.com/en/expert-insights/singlemember-llc-vs-sole-proprietorship" TargetMode="External" Type="http://schemas.openxmlformats.org/officeDocument/2006/relationships/hyperlink"/><Relationship Id="rId16" Target="https://www.wolterskluwer.com/en/expert-insights/singlemember-llc-vs-sole-proprietorship" TargetMode="External" Type="http://schemas.openxmlformats.org/officeDocument/2006/relationships/hyperlink"/><Relationship Id="rId17" Target="https://www.kiavi.com/blog/how-real-estate-investors-can-harness-the-power-of-llcs" TargetMode="External" Type="http://schemas.openxmlformats.org/officeDocument/2006/relationships/hyperlink"/><Relationship Id="rId18" Target="https://www.kiavi.com/blog/how-real-estate-investors-can-harness-the-power-of-llcs" TargetMode="External" Type="http://schemas.openxmlformats.org/officeDocument/2006/relationships/hyperlink"/><Relationship Id="rId19" Target="https://www.kiavi.com/blog/how-real-estate-investors-can-harness-the-power-of-llcs" TargetMode="External" Type="http://schemas.openxmlformats.org/officeDocument/2006/relationships/hyperlink"/><Relationship Id="rId2" Target="fontTable.xml" Type="http://schemas.openxmlformats.org/officeDocument/2006/relationships/fontTable"/><Relationship Id="rId20" Target="https://conversations.wf.com/cash-flow-planning/" TargetMode="External" Type="http://schemas.openxmlformats.org/officeDocument/2006/relationships/hyperlink"/><Relationship Id="rId21" Target="https://conversations.wf.com/cash-flow-planning/" TargetMode="External" Type="http://schemas.openxmlformats.org/officeDocument/2006/relationships/hyperlink"/><Relationship Id="rId22" Target="https://conversations.wf.com/cash-flow-planning/" TargetMode="External" Type="http://schemas.openxmlformats.org/officeDocument/2006/relationships/hyperlink"/><Relationship Id="rId23" Target="media/image1.png" Type="http://schemas.openxmlformats.org/officeDocument/2006/relationships/image"/><Relationship Id="rId24" Target="media/image2.png" Type="http://schemas.openxmlformats.org/officeDocument/2006/relationships/image"/><Relationship Id="rId25" Target="media/image3.png" Type="http://schemas.openxmlformats.org/officeDocument/2006/relationships/image"/><Relationship Id="rId26" Target="media/image4.png" Type="http://schemas.openxmlformats.org/officeDocument/2006/relationships/image"/><Relationship Id="rId27" Target="media/image5.png" Type="http://schemas.openxmlformats.org/officeDocument/2006/relationships/image"/><Relationship Id="rId28" Target="https://public-cclba.epropertyplus.com/landmgmtpub/app/base/propertySearch?searchInfo=%7B%22criteria%22%3A%7B%22criterias%22%3A%5B%5D%7D%7D" TargetMode="External" Type="http://schemas.openxmlformats.org/officeDocument/2006/relationships/hyperlink"/><Relationship Id="rId29" Target="https://www.zillow.com/harvey-il/foreclosures/?searchQueryState=%7B%22pagination%22%3A%7B%7D%2C%22isMapVisible%22%3Atrue%2C%22mapBounds%22%3A%7B%22west%22%3A-87.83586137858379%2C%22east%22%3A-87.58763902750957%2C%22south%22%3A41.550032623149164%2C%22north%22%3A41.670679167065856%7D%2C%22regionSelection%22%3A%5B%7B%22regionId%22%3A45676%2C%22regionType%22%3A6%7D%5D%2C%22filterState%22%3A%7B%22sort%22%3A%7B%22value%22%3A%22globalrelevanceex%22%7D%2C%22fsba%22%3A%7B%22value%22%3Afalse%7D%2C%22fsbo%22%3A%7B%22value%22%3Afalse%7D%2C%22nc%22%3A%7B%22value%22%3Afalse%7D%2C%22cmsn%22%3A%7B%22value%22%3Afalse%7D%2C%22auc%22%3A%7B%22value%22%3Afalse%7D%7D%2C%22isListVisible%22%3Atrue%2C%22mapZoom%22%3A12%7D" TargetMode="External" Type="http://schemas.openxmlformats.org/officeDocument/2006/relationships/hyperlink"/><Relationship Id="rId3" Target="numbering.xml" Type="http://schemas.openxmlformats.org/officeDocument/2006/relationships/numbering"/><Relationship Id="rId4" Target="https://www.redfin.com/city/29470/IL/Chicago/housing-market" TargetMode="External" Type="http://schemas.openxmlformats.org/officeDocument/2006/relationships/hyperlink"/><Relationship Id="rId5" Target="https://www.redfin.com/city/29470/IL/Chicago/housing-market" TargetMode="External" Type="http://schemas.openxmlformats.org/officeDocument/2006/relationships/hyperlink"/><Relationship Id="rId6" Target="https://www.hines.com/the-point/chicagos-2024-housing-market" TargetMode="External" Type="http://schemas.openxmlformats.org/officeDocument/2006/relationships/hyperlink"/><Relationship Id="rId7" Target="https://www.rockethomes.com/real-estate-trends/il/chicago" TargetMode="External" Type="http://schemas.openxmlformats.org/officeDocument/2006/relationships/hyperlink"/><Relationship Id="rId8" Target="https://www.redfin.com/city/29470/IL/Chicago/housing-market" TargetMode="External" Type="http://schemas.openxmlformats.org/officeDocument/2006/relationships/hyperlink"/><Relationship Id="rId9" Target="https://www.redfin.com/city/29470/IL/Chicago/housing-market"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2024-10-18T03:50:24Z</dcterms:created>
  <dc:creator>Apache POI</dc:creator>
</cp:coreProperties>
</file>